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Affiliate Marketing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C1319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One-day edition (9:30am – 5:30pm, 7.5 instructional hours) aligned to six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Facilitation and Evidence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One-Day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· 9:30am – 5:30pm - Research offers, build the partner portfolio, run controlled campaigns and report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Traceability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PowerPoint Slide Reference Map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Contingencies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Agentic AI for Affiliate Marketing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C1319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1 day - 7.5 instructional hours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9:30am – 5:30pm; 30-minute lunch break; refreshments taken during activity time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Instructor-led concept briefings, demonstrations and connected Claude Cowork, Skills, MCP and deterministic-data labs</w:t>
            </w:r>
          </w:p>
        </w:tc>
      </w:tr>
      <w:tr>
        <w:tc>
          <w:tcPr>
            <w:tcW w:type="dxa" w:w="432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Analyze affiliate marketing trends and provide updates to partners on new retail and hospitality products and services.</w:t>
      </w:r>
    </w:p>
    <w:p>
      <w:pPr>
        <w:pStyle w:val="ListBullet"/>
      </w:pPr>
      <w:r>
        <w:t>LO2: Coordinate with affiliates using strategic research to align partnerships and develop an effective affiliate portfolio.</w:t>
      </w:r>
    </w:p>
    <w:p>
      <w:pPr>
        <w:pStyle w:val="ListBullet"/>
      </w:pPr>
      <w:r>
        <w:t>LO3: Prepare affiliate campaign reports aligned to strategy and ensure compliance with marketing policies and practices.</w:t>
      </w:r>
    </w:p>
    <w:p>
      <w:pPr>
        <w:pStyle w:val="Heading1"/>
      </w:pPr>
      <w:r>
        <w:t>Facilitation and Evidence Strategy</w:t>
      </w:r>
    </w:p>
    <w:p>
      <w:pPr>
        <w:pStyle w:val="ListBullet"/>
      </w:pPr>
      <w:r>
        <w:t>Brief technical concepts with editable diagrams, data contracts, decision rules and worked metrics; keep click paths in the Learner Guide.</w:t>
      </w:r>
    </w:p>
    <w:p>
      <w:pPr>
        <w:pStyle w:val="ListBullet"/>
      </w:pPr>
      <w:r>
        <w:t>Demonstrate each workflow with supplied sample data before connecting training credentials.</w:t>
      </w:r>
    </w:p>
    <w:p>
      <w:pPr>
        <w:pStyle w:val="ListBullet"/>
      </w:pPr>
      <w:r>
        <w:t>Ask learners to predict the failure path, execute the test, then capture safe evidence.</w:t>
      </w:r>
    </w:p>
    <w:p>
      <w:pPr>
        <w:pStyle w:val="ListBullet"/>
      </w:pPr>
      <w:r>
        <w:t>Use lab acceptance checklists as progress checks and remediation guides.</w:t>
      </w:r>
    </w:p>
    <w:p>
      <w:pPr>
        <w:pStyle w:val="ListBullet"/>
      </w:pPr>
      <w:r>
        <w:t>Never demonstrate an irreversible schedule or send to a production audience.</w:t>
      </w:r>
    </w:p>
    <w:p>
      <w:pPr>
        <w:pStyle w:val="Heading1"/>
      </w:pPr>
      <w:r>
        <w:t>One-Day Schedule</w:t>
      </w:r>
    </w:p>
    <w:p>
      <w:pPr>
        <w:pStyle w:val="Heading2"/>
      </w:pPr>
      <w:r>
        <w:t>Day 1 · 9:30am – 5:30pm - Research offers, build the partner portfolio, run controlled campaigns and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Minutes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16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9:30-9:50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Welcome, outcomes and learning contract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9:50-10:25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35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Technical core: controlled affiliate loop, state, evidence, autonomy boundaries and audit records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10:25-11:20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55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1: affiliate foundations, offer economics, trend evidence, Claude Cowork and reusable Skills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11:20-11:45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1 - Affiliate Offer Economics and Niche Fit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11:45-12:40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55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2 - Trend Monitor and Product Update Skill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12:40-13:10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216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13:10-13:45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35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2: MCP boundary, partner evidence, due diligence and portfolio principles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13:45-14:20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3 - MCP-Assisted Partner Discovery and Due Diligence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14:20-14:55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4 - Affiliate Portfolio and Communication Agent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14:55-15:30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35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3: governed content, tracking contracts, attribution, commission and compliance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15:30-16:25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55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5 - Brand-Aligned Multi-Channel Campaign Factory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16:25-17:20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55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8"/>
              </w:rPr>
              <w:t>Lab 6 - Attribution, Commission and Performance Reporting Agent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17:20-17:30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Recap</w:t>
            </w:r>
          </w:p>
        </w:tc>
        <w:tc>
          <w:tcPr>
            <w:tcW w:type="dxa" w:w="216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Course synthesis, Q&amp;A and course feedback</w:t>
            </w:r>
          </w:p>
        </w:tc>
      </w:tr>
    </w:tbl>
    <w:p>
      <w:r>
        <w:rPr>
          <w:i/>
          <w:sz w:val="18"/>
        </w:rPr>
        <w:t>Day total: 7.5 instructional hours (9:30am – 5:30pm), plus a 30-minute lunch.</w:t>
      </w:r>
    </w:p>
    <w:p>
      <w:pPr>
        <w:pStyle w:val="Heading1"/>
      </w:pPr>
      <w:r>
        <w:t>Lab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Outcome</w:t>
            </w:r>
          </w:p>
        </w:tc>
        <w:tc>
          <w:tcPr>
            <w:tcW w:type="dxa" w:w="2160"/>
            <w:shd w:val="clear" w:color="auto" w:fill="F06B4F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Observable evidence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1 - Affiliate Offer Economics and Niche Fit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completed offer-inputs.csv; offer-economics-report.md; source notes; selected offer and rationale; one rejected offer with gate reason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2 - Trend Monitor and Product Update Skill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skills/affiliate-trend-update/SKILL.md; completed evidence cards; product diff; approved partner update; validator result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3 - MCP-Assisted Partner Discovery and Due Diligence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affiliate-candidates.csv; source register; due-diligence findings; partner-scorecard.md; human shortlist decision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4 - Affiliate Portfolio and Communication Agent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portfolio.csv; portfolio-analysis.md; communication-cadence.csv; approved partner brief; message and escalation log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5 - Brand-Aligned Multi-Channel Campaign Factory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campaign-brief.json; four channel drafts; compliance-report.json; resolved findings; human approval hashes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6 - Attribution, Commission and Performance Reporting Agent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click-events.csv; conversion-events.csv; commission-statement.csv; reconciliation-report.md; dashboard.html; approved-progress-report.md</w:t>
            </w:r>
          </w:p>
        </w:tc>
      </w:tr>
    </w:tbl>
    <w:p>
      <w:pPr>
        <w:pStyle w:val="Heading1"/>
      </w:pPr>
      <w:r>
        <w:t>PowerPoint Slide Reference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Lesson Plan block</w:t>
            </w:r>
          </w:p>
        </w:tc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Slides</w:t>
            </w:r>
          </w:p>
        </w:tc>
        <w:tc>
          <w:tcPr>
            <w:tcW w:type="dxa" w:w="2880"/>
            <w:shd w:val="clear" w:color="auto" w:fill="008F83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Deck boundary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Administration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2-10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Welcome and Learning Contract -&gt; Access the Hands-On 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Technical core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11-19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The Controlled Campaign Loop -&gt; Failure Taxonomy Before the Build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1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20-65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Research and Campaign Planning with Claude Cowork -&gt; LO1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67-72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Offer Economics and Niche Fit -&gt; Lab 1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73-78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Trend Monitor and Product Update Skill -&gt; Lab 2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121-126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MCP-Assisted Partner Discovery and Due Diligence -&gt; Lab 3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127-132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Portfolio and Communication Agent -&gt; Lab 4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2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79-119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Affiliate Portfolio and Partner Coordination with Skills and MCP -&gt; LO2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173-178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Brand-Aligned Multi-Channel Campaign Factory -&gt; Lab 5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Topic 3 concepts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133-171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Campaign Reporting, Compliance and Optimisation with Agentic AI -&gt; LO3 Evidence Bundle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Lab 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179-184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Attribution, Commission and Performance Reporting Agent -&gt; Lab 6 Verification and Failure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AF7F5"/>
          </w:tcPr>
          <w:p>
            <w:r/>
            <w:r>
              <w:rPr>
                <w:rFonts w:ascii="Arial" w:hAnsi="Arial"/>
                <w:b/>
                <w:sz w:val="18"/>
              </w:rPr>
              <w:t>Revision and close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185-190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From Evidence to Practice -&gt; Thank You</w:t>
            </w:r>
          </w:p>
        </w:tc>
      </w:tr>
    </w:tbl>
    <w:p>
      <w:pPr>
        <w:pStyle w:val="Heading1"/>
      </w:pPr>
      <w:r>
        <w:t>Resources and Contingencies</w:t>
      </w:r>
    </w:p>
    <w:p>
      <w:pPr>
        <w:pStyle w:val="ListBullet"/>
      </w:pPr>
      <w:r>
        <w:t>Concept-led PowerPoint deck and PDF mirror.</w:t>
      </w:r>
    </w:p>
    <w:p>
      <w:pPr>
        <w:pStyle w:val="ListBullet"/>
      </w:pPr>
      <w:r>
        <w:t>Learner Guide with detailed procedures and PDF mirror.</w:t>
      </w:r>
    </w:p>
    <w:p>
      <w:pPr>
        <w:pStyle w:val="ListBullet"/>
      </w:pPr>
      <w:r>
        <w:t>Six self-contained lab folders with README, checklist, supplied records, deterministic validators and evidence templates.</w:t>
      </w:r>
    </w:p>
    <w:p>
      <w:pPr>
        <w:pStyle w:val="ListBullet"/>
      </w:pPr>
      <w:r>
        <w:t>If a connector is unavailable, use the supplied offline files and preserve the same data contracts.</w:t>
      </w:r>
    </w:p>
    <w:p>
      <w:pPr>
        <w:pStyle w:val="ListBullet"/>
      </w:pPr>
      <w:r>
        <w:t>If a connector denies access, record the permission boundary and continue with the read-only fallback; never broaden scope or expose credentials.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for Affiliate Marketing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