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Claude Cowork for Digital Marketing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C141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rPr>
          <w:cantSplit/>
          <w:tblHeader/>
        </w:trPr>
        <w:tc>
          <w:tcPr>
            <w:tcW w:type="dxa" w:w="2437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437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437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437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rPr>
          <w:cantSplit/>
        </w:trPr>
        <w:tc>
          <w:tcPr>
            <w:tcW w:type="dxa" w:w="2437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437"/>
          </w:tcPr>
          <w:p>
            <w:r/>
            <w:r>
              <w:rPr>
                <w:sz w:val="19"/>
              </w:rPr>
              <w:t>30 September 2026</w:t>
            </w:r>
          </w:p>
        </w:tc>
        <w:tc>
          <w:tcPr>
            <w:tcW w:type="dxa" w:w="2437"/>
          </w:tcPr>
          <w:p>
            <w:r/>
            <w:r>
              <w:rPr>
                <w:sz w:val="19"/>
              </w:rPr>
              <w:t>Initial release of the Claude Cowork for Digital Marketing courseware: 14 self-contained activities over two days.</w:t>
            </w:r>
          </w:p>
        </w:tc>
        <w:tc>
          <w:tcPr>
            <w:tcW w:type="dxa" w:w="2437"/>
          </w:tcPr>
          <w:p>
            <w:r/>
            <w:r>
              <w:rPr>
                <w:sz w:val="19"/>
              </w:rPr>
              <w:t>Tertiary Infotech Academy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fldChar w:fldCharType="begin"/>
        <w:instrText xml:space="preserve"> TOC \o "1-1" \h \z \u </w:instrText>
        <w:fldChar w:fldCharType="separate"/>
      </w:r>
      <w:r>
        <w:rPr>
          <w:rFonts w:ascii="Arial" w:hAnsi="Arial"/>
          <w:b/>
          <w:color w:val="333333"/>
          <w:sz w:val="22"/>
        </w:rPr>
        <w:t>Course identity and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Resources and evidence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Daily schedules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Alignment and release evidence</w:t>
        <w:tab/>
        <w:t>5</w:t>
      </w:r>
      <w:r>
        <w:fldChar w:fldCharType="end"/>
      </w:r>
    </w:p>
    <w:p>
      <w:r>
        <w:br w:type="page"/>
      </w:r>
    </w:p>
    <w:p>
      <w:pPr>
        <w:pStyle w:val="Heading1"/>
      </w:pPr>
      <w:r>
        <w:t>Course identity and outcomes</w:t>
      </w:r>
    </w:p>
    <w:p>
      <w:r>
        <w:t>Claude Cowork for Digital Marketing | C141 | 15 instructional hours over 2 days, 9:30am – 5:30pm (7.5 hours per day).</w:t>
      </w:r>
    </w:p>
    <w:p>
      <w:r>
        <w:t>LO1: Conduct compatibility assessments of Claude Cowork interfaces and use integration tools to connect selected marketing components.</w:t>
      </w:r>
    </w:p>
    <w:p>
      <w:r>
        <w:t>LO2: Test selected marketing components and interfaces, identify integration errors and conduct basic troubleshooting.</w:t>
      </w:r>
    </w:p>
    <w:p>
      <w:r>
        <w:t>LO3: Propose changes to the integration plan from observed results and apply versioning and integration best practices.</w:t>
      </w:r>
    </w:p>
    <w:p>
      <w:pPr>
        <w:pStyle w:val="Heading1"/>
      </w:pPr>
      <w:r>
        <w:t>Resources and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cantSplit/>
          <w:tblHeader/>
        </w:trPr>
        <w:tc>
          <w:tcPr>
            <w:tcW w:type="dxa" w:w="4874"/>
          </w:tcPr>
          <w:p>
            <w:r>
              <w:rPr>
                <w:rFonts w:ascii="Arial" w:hAnsi="Arial"/>
                <w:sz w:val="19"/>
              </w:rPr>
              <w:t>Resource</w:t>
            </w:r>
          </w:p>
        </w:tc>
        <w:tc>
          <w:tcPr>
            <w:tcW w:type="dxa" w:w="4874"/>
          </w:tcPr>
          <w:p>
            <w:r>
              <w:rPr>
                <w:rFonts w:ascii="Arial" w:hAnsi="Arial"/>
                <w:sz w:val="19"/>
              </w:rPr>
              <w:t>Purpose</w:t>
            </w:r>
          </w:p>
        </w:tc>
      </w:tr>
      <w:tr>
        <w:trPr>
          <w:cantSplit/>
        </w:trPr>
        <w:tc>
          <w:tcPr>
            <w:tcW w:type="dxa" w:w="4874"/>
          </w:tcPr>
          <w:p>
            <w:r>
              <w:rPr>
                <w:rFonts w:ascii="Arial" w:hAnsi="Arial"/>
                <w:sz w:val="19"/>
              </w:rPr>
              <w:t>PPT v1.0</w:t>
            </w:r>
          </w:p>
        </w:tc>
        <w:tc>
          <w:tcPr>
            <w:tcW w:type="dxa" w:w="4874"/>
          </w:tcPr>
          <w:p>
            <w:r>
              <w:rPr>
                <w:rFonts w:ascii="Arial" w:hAnsi="Arial"/>
                <w:sz w:val="19"/>
              </w:rPr>
              <w:t>Mechanisms,editable charts,artifacts and diagnostics; no detailed click paths</w:t>
            </w:r>
          </w:p>
        </w:tc>
      </w:tr>
      <w:tr>
        <w:trPr>
          <w:cantSplit/>
        </w:trPr>
        <w:tc>
          <w:tcPr>
            <w:tcW w:type="dxa" w:w="4874"/>
          </w:tcPr>
          <w:p>
            <w:r>
              <w:rPr>
                <w:rFonts w:ascii="Arial" w:hAnsi="Arial"/>
                <w:sz w:val="19"/>
              </w:rPr>
              <w:t>LG v1.0</w:t>
            </w:r>
          </w:p>
        </w:tc>
        <w:tc>
          <w:tcPr>
            <w:tcW w:type="dxa" w:w="4874"/>
          </w:tcPr>
          <w:p>
            <w:r>
              <w:rPr>
                <w:rFonts w:ascii="Arial" w:hAnsi="Arial"/>
                <w:sz w:val="19"/>
              </w:rPr>
              <w:t>Detailed numbered procedures and source contracts</w:t>
            </w:r>
          </w:p>
        </w:tc>
      </w:tr>
      <w:tr>
        <w:trPr>
          <w:cantSplit/>
        </w:trPr>
        <w:tc>
          <w:tcPr>
            <w:tcW w:type="dxa" w:w="4874"/>
          </w:tcPr>
          <w:p>
            <w:r>
              <w:rPr>
                <w:rFonts w:ascii="Arial" w:hAnsi="Arial"/>
                <w:sz w:val="19"/>
              </w:rPr>
              <w:t>14Activities</w:t>
            </w:r>
          </w:p>
        </w:tc>
        <w:tc>
          <w:tcPr>
            <w:tcW w:type="dxa" w:w="4874"/>
          </w:tcPr>
          <w:p>
            <w:r>
              <w:rPr>
                <w:rFonts w:ascii="Arial" w:hAnsi="Arial"/>
                <w:sz w:val="19"/>
              </w:rPr>
              <w:t>Self-contained mock-data/assets/promptsPDF and acceptance checks</w:t>
            </w:r>
          </w:p>
        </w:tc>
      </w:tr>
    </w:tbl>
    <w:p>
      <w:pPr>
        <w:pStyle w:val="Heading1"/>
      </w:pPr>
      <w:r>
        <w:t>Daily schedules</w:t>
      </w:r>
    </w:p>
    <w:p>
      <w:pPr>
        <w:pStyle w:val="Heading2"/>
      </w:pPr>
      <w:r>
        <w:t>Day 1 — 9:30am – 5:30pm · 450 instructional minutes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rPr>
          <w:cantSplit/>
          <w:tblHeader/>
        </w:trPr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Time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Topic / embedded activity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Minutes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PPT slides</w:t>
            </w:r>
          </w:p>
        </w:tc>
      </w:tr>
      <w:tr>
        <w:trPr>
          <w:cantSplit/>
        </w:trPr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09:30–10:00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Welcome, course overview and outcomes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30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1–5</w:t>
            </w:r>
          </w:p>
        </w:tc>
      </w:tr>
      <w:tr>
        <w:trPr>
          <w:cantSplit/>
        </w:trPr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10:00–11:00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Activity 01 workspace compatibility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60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6–19</w:t>
            </w:r>
          </w:p>
        </w:tc>
      </w:tr>
      <w:tr>
        <w:trPr>
          <w:cantSplit/>
        </w:trPr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11:00–11:55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Activity 02 brand context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55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20–33</w:t>
            </w:r>
          </w:p>
        </w:tc>
      </w:tr>
      <w:tr>
        <w:trPr>
          <w:cantSplit/>
        </w:trPr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11:55–13:10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Activity 03 MCP compatibility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75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34–47</w:t>
            </w:r>
          </w:p>
        </w:tc>
      </w:tr>
      <w:tr>
        <w:trPr>
          <w:cantSplit/>
        </w:trPr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13:10–13:40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Lunch (excluded)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30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13:40–14:35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Activity 04 tracking contract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55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48–61</w:t>
            </w:r>
          </w:p>
        </w:tc>
      </w:tr>
      <w:tr>
        <w:trPr>
          <w:cantSplit/>
        </w:trPr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14:35–15:45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Activity 05 reusable Skill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70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62–75</w:t>
            </w:r>
          </w:p>
        </w:tc>
      </w:tr>
      <w:tr>
        <w:trPr>
          <w:cantSplit/>
        </w:trPr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15:45–16:45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Activity 06 metrics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60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76–89</w:t>
            </w:r>
          </w:p>
        </w:tc>
      </w:tr>
      <w:tr>
        <w:trPr>
          <w:cantSplit/>
        </w:trPr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16:45–17:30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Activity 07 data quality and Day 1 checkpoint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45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90–105</w:t>
            </w:r>
          </w:p>
        </w:tc>
      </w:tr>
    </w:tbl>
    <w:p>
      <w:r>
        <w:t>Delivery: short mechanism exposition, worked artifact interpretation, independent arithmetic, paired activity and evidence review. Activity time is included in each block. One 30-minute lunch; refreshments are taken during activity time. Daily window 9:30am – 5:30pm.</w:t>
      </w:r>
    </w:p>
    <w:p>
      <w:pPr>
        <w:pStyle w:val="Heading2"/>
      </w:pPr>
      <w:r>
        <w:t>Day 2 — 9:30am – 5:30pm · 450 instructional minutes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rPr>
          <w:cantSplit/>
          <w:tblHeader/>
        </w:trPr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Time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Topic / embedded activity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Minutes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PPT slides</w:t>
            </w:r>
          </w:p>
        </w:tc>
      </w:tr>
      <w:tr>
        <w:trPr>
          <w:cantSplit/>
        </w:trPr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09:30–10:25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Activity 08 SEO brief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55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106–119</w:t>
            </w:r>
          </w:p>
        </w:tc>
      </w:tr>
      <w:tr>
        <w:trPr>
          <w:cantSplit/>
        </w:trPr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10:25–11:30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Activity 09 lifecycle email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65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120–133</w:t>
            </w:r>
          </w:p>
        </w:tc>
      </w:tr>
      <w:tr>
        <w:trPr>
          <w:cantSplit/>
        </w:trPr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11:30–12:25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Activity 10 social assets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55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134–147</w:t>
            </w:r>
          </w:p>
        </w:tc>
      </w:tr>
      <w:tr>
        <w:trPr>
          <w:cantSplit/>
        </w:trPr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12:25–13:25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Activity 11 experiment evidence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60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148–161</w:t>
            </w:r>
          </w:p>
        </w:tc>
      </w:tr>
      <w:tr>
        <w:trPr>
          <w:cantSplit/>
        </w:trPr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13:25–13:55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Lunch (excluded)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30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13:55–15:00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Activity 12 regression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65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162–175</w:t>
            </w:r>
          </w:p>
        </w:tc>
      </w:tr>
      <w:tr>
        <w:trPr>
          <w:cantSplit/>
        </w:trPr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15:00–15:55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Activity 13 versioning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55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176–189</w:t>
            </w:r>
          </w:p>
        </w:tc>
      </w:tr>
      <w:tr>
        <w:trPr>
          <w:cantSplit/>
        </w:trPr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15:55–17:15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Activity 14 integrated portfolio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80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190–203</w:t>
            </w:r>
          </w:p>
        </w:tc>
      </w:tr>
      <w:tr>
        <w:trPr>
          <w:cantSplit/>
        </w:trPr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17:15–17:30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Creative review, recap and course feedback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15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204–212</w:t>
            </w:r>
          </w:p>
        </w:tc>
      </w:tr>
    </w:tbl>
    <w:p>
      <w:r>
        <w:t>Delivery: short mechanism exposition, worked artifact interpretation, independent arithmetic, paired activity and evidence review. Activity time is included in each block. One 30-minute lunch; refreshments are taken during activity time. Daily window 9:30am – 5:30pm.</w:t>
      </w:r>
    </w:p>
    <w:p>
      <w:pPr>
        <w:pStyle w:val="Heading1"/>
      </w:pPr>
      <w:r>
        <w:t>Alignment and release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cantSplit/>
          <w:tblHeader/>
        </w:trPr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Activity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Learning outcome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Slide range</w:t>
            </w:r>
          </w:p>
        </w:tc>
      </w:tr>
      <w:tr>
        <w:trPr>
          <w:cantSplit/>
        </w:trPr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LO1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6–19</w:t>
            </w:r>
          </w:p>
        </w:tc>
      </w:tr>
      <w:tr>
        <w:trPr>
          <w:cantSplit/>
        </w:trPr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LO1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20–33</w:t>
            </w:r>
          </w:p>
        </w:tc>
      </w:tr>
      <w:tr>
        <w:trPr>
          <w:cantSplit/>
        </w:trPr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LO1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34–47</w:t>
            </w:r>
          </w:p>
        </w:tc>
      </w:tr>
      <w:tr>
        <w:trPr>
          <w:cantSplit/>
        </w:trPr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LO1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48–61</w:t>
            </w:r>
          </w:p>
        </w:tc>
      </w:tr>
      <w:tr>
        <w:trPr>
          <w:cantSplit/>
        </w:trPr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LO1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62–75</w:t>
            </w:r>
          </w:p>
        </w:tc>
      </w:tr>
      <w:tr>
        <w:trPr>
          <w:cantSplit/>
        </w:trPr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LO2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76–89</w:t>
            </w:r>
          </w:p>
        </w:tc>
      </w:tr>
      <w:tr>
        <w:trPr>
          <w:cantSplit/>
        </w:trPr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LO2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90–103</w:t>
            </w:r>
          </w:p>
        </w:tc>
      </w:tr>
      <w:tr>
        <w:trPr>
          <w:cantSplit/>
        </w:trPr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LO2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106–119</w:t>
            </w:r>
          </w:p>
        </w:tc>
      </w:tr>
      <w:tr>
        <w:trPr>
          <w:cantSplit/>
        </w:trPr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LO2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120–133</w:t>
            </w:r>
          </w:p>
        </w:tc>
      </w:tr>
      <w:tr>
        <w:trPr>
          <w:cantSplit/>
        </w:trPr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LO2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134–147</w:t>
            </w:r>
          </w:p>
        </w:tc>
      </w:tr>
      <w:tr>
        <w:trPr>
          <w:cantSplit/>
        </w:trPr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11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LO2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148–161</w:t>
            </w:r>
          </w:p>
        </w:tc>
      </w:tr>
      <w:tr>
        <w:trPr>
          <w:cantSplit/>
        </w:trPr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12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LO2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162–175</w:t>
            </w:r>
          </w:p>
        </w:tc>
      </w:tr>
      <w:tr>
        <w:trPr>
          <w:cantSplit/>
        </w:trPr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13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LO3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176–189</w:t>
            </w:r>
          </w:p>
        </w:tc>
      </w:tr>
      <w:tr>
        <w:trPr>
          <w:cantSplit/>
        </w:trPr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14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LO3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190–203</w:t>
            </w:r>
          </w:p>
        </w:tc>
      </w:tr>
    </w:tbl>
    <w:sectPr w:rsidR="00FC693F" w:rsidRPr="0006063C" w:rsidSect="00034616">
      <w:footerReference w:type="default" r:id="rId10"/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