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 ·  C142</w:t>
            </w:r>
          </w:p>
        </w:tc>
      </w:tr>
    </w:tbl>
    <w:p>
      <w:r>
        <w:rPr>
          <w:b/>
          <w:color w:val="1F6FEB"/>
          <w:sz w:val="24"/>
        </w:rPr>
        <w:t>ACTIVITY 1 — CHECKLIST</w:t>
      </w:r>
    </w:p>
    <w:p>
      <w:r>
        <w:rPr>
          <w:b/>
          <w:color w:val="111827"/>
          <w:sz w:val="30"/>
        </w:rPr>
        <w:t>Define — Customer Requirements and the Problem Statement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Define — Understand the Problem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Define — Customer Requirements and the Problem Statement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Five VOC statements are recorded in the customer's own words, quoted from the data.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CTQ carries both a number and a unit.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problem statement names what, where/when, since when, how big and the impact.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problem statement contains NO solution.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SMART goal has a metric, a baseline, a target and a date.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scope table has entries in BOTH the in-scope and out-of-scope columns.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five VOC statements in the customer's own words, five CTQs each carrying a number and a unit, and a problem statement containing no solution.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White Belt (CLSSWB) · C142 · Version v3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