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White Belt (CLSSWB)  ·  C142</w:t>
            </w:r>
          </w:p>
        </w:tc>
      </w:tr>
    </w:tbl>
    <w:p>
      <w:r>
        <w:rPr>
          <w:b/>
          <w:color w:val="1F6FEB"/>
          <w:sz w:val="24"/>
        </w:rPr>
        <w:t>ACTIVITY 3 — CHECKLIST</w:t>
      </w:r>
    </w:p>
    <w:p>
      <w:r>
        <w:rPr>
          <w:b/>
          <w:color w:val="111827"/>
          <w:sz w:val="30"/>
        </w:rPr>
        <w:t>Analyze — Find the Root Cause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Hands-on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Analyze — Find the Cause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Analyze — Find the Root Cause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5 Whys chain ends in something the team can actually act on.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chain blames a process, not a named person.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Fishbone cause sits under one of the five categories.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vital few are named, with the cumulative percentage quoted from the Pareto.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Each cause is labelled common cause or special cause.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shortlisted cause is backed by a stated observation, not an opinion.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5 Whys chain ending in an actionable process cause, a Fishbone with causes sorted into the five categories, and two or three shortlisted causes each backed by a stated observation.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White Belt (CLSSWB) · C142 · Version v3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