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LESSON PLAN</w:t>
      </w:r>
    </w:p>
    <w:p>
      <w:pPr>
        <w:spacing w:before="80" w:after="160"/>
        <w:jc w:val="center"/>
      </w:pPr>
      <w:r>
        <w:rPr>
          <w:b w:val="0"/>
          <w:color w:val="555B66"/>
          <w:sz w:val="24"/>
        </w:rPr>
        <w:t>For</w:t>
      </w:r>
    </w:p>
    <w:p>
      <w:pPr>
        <w:spacing w:before="80" w:after="40"/>
        <w:jc w:val="center"/>
      </w:pPr>
      <w:r>
        <w:rPr>
          <w:b/>
          <w:color w:val="111827"/>
          <w:sz w:val="40"/>
        </w:rPr>
        <w:t>Certified Lean Six Sigma White Belt (CLSSWB)</w:t>
      </w:r>
    </w:p>
    <w:p>
      <w:pPr>
        <w:spacing w:before="80" w:after="280"/>
        <w:jc w:val="center"/>
      </w:pPr>
      <w:r>
        <w:rPr>
          <w:b w:val="0"/>
          <w:color w:val="111827"/>
          <w:sz w:val="24"/>
        </w:rPr>
        <w:t>Course Code: C142</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7</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1</w:t>
            </w:r>
          </w:p>
        </w:tc>
        <w:tc>
          <w:tcPr>
            <w:tcW w:type="dxa" w:w="2160"/>
          </w:tcPr>
          <w:p>
            <w:r/>
            <w:r>
              <w:rPr>
                <w:sz w:val="19"/>
              </w:rPr>
              <w:t>1 July 2026</w:t>
            </w:r>
          </w:p>
        </w:tc>
        <w:tc>
          <w:tcPr>
            <w:tcW w:type="dxa" w:w="2160"/>
          </w:tcPr>
          <w:p>
            <w:r/>
            <w:r>
              <w:rPr>
                <w:sz w:val="19"/>
              </w:rPr>
              <w:t>Initial release — CLSSWB 1-day lesson plan for the Lean Six Sigma awareness course.</w:t>
            </w:r>
          </w:p>
        </w:tc>
        <w:tc>
          <w:tcPr>
            <w:tcW w:type="dxa" w:w="2160"/>
          </w:tcPr>
          <w:p>
            <w:r/>
            <w:r>
              <w:rPr>
                <w:sz w:val="19"/>
              </w:rPr>
              <w:t>Dr. Alfred Ang</w:t>
            </w:r>
          </w:p>
        </w:tc>
      </w:tr>
      <w:tr>
        <w:tc>
          <w:tcPr>
            <w:tcW w:type="dxa" w:w="2160"/>
          </w:tcPr>
          <w:p>
            <w:r/>
            <w:r>
              <w:rPr>
                <w:sz w:val="19"/>
              </w:rPr>
              <w:t>3</w:t>
            </w:r>
          </w:p>
        </w:tc>
        <w:tc>
          <w:tcPr>
            <w:tcW w:type="dxa" w:w="2160"/>
          </w:tcPr>
          <w:p>
            <w:r/>
            <w:r>
              <w:rPr>
                <w:sz w:val="19"/>
              </w:rPr>
              <w:t>23 September 2026</w:t>
            </w:r>
          </w:p>
        </w:tc>
        <w:tc>
          <w:tcPr>
            <w:tcW w:type="dxa" w:w="2160"/>
          </w:tcPr>
          <w:p>
            <w:r/>
            <w:r>
              <w:rPr>
                <w:sz w:val="19"/>
              </w:rPr>
              <w:t>Lab data pack added: each activity is now a self-contained folder with its mock dataset (CSV + Excel), blank templates, a worked model answer and facilitator notes. The Lab Reference table now shows the data pack issued for each activity, and the lab steps reference the specific data and template files the learner works from.</w:t>
            </w:r>
          </w:p>
        </w:tc>
        <w:tc>
          <w:tcPr>
            <w:tcW w:type="dxa" w:w="2160"/>
          </w:tcPr>
          <w:p>
            <w:r/>
            <w:r>
              <w:rPr>
                <w:sz w:val="19"/>
              </w:rPr>
              <w:t>Dr. Alfred Ang</w:t>
            </w:r>
          </w:p>
        </w:tc>
      </w:tr>
      <w:tr>
        <w:tc>
          <w:tcPr>
            <w:tcW w:type="dxa" w:w="2160"/>
          </w:tcPr>
          <w:p>
            <w:r/>
            <w:r>
              <w:rPr>
                <w:sz w:val="19"/>
              </w:rPr>
              <w:t>4</w:t>
            </w:r>
          </w:p>
        </w:tc>
        <w:tc>
          <w:tcPr>
            <w:tcW w:type="dxa" w:w="2160"/>
          </w:tcPr>
          <w:p>
            <w:r/>
            <w:r>
              <w:rPr>
                <w:sz w:val="19"/>
              </w:rPr>
              <w:t>23 September 2026</w:t>
            </w:r>
          </w:p>
        </w:tc>
        <w:tc>
          <w:tcPr>
            <w:tcW w:type="dxa" w:w="2160"/>
          </w:tcPr>
          <w:p>
            <w:r/>
            <w:r>
              <w:rPr>
                <w:sz w:val="19"/>
              </w:rPr>
              <w:t>Labs restructured into the house ACTIVITY format: activities/ replaces labs/, one folder per activity named 'NN - Title', each holding the Facilitator Guide, Learner Worksheet and Checklist as DOCX and PDF plus its data pack. Lab Reference table relabelled to Activity Reference.</w:t>
            </w:r>
          </w:p>
        </w:tc>
        <w:tc>
          <w:tcPr>
            <w:tcW w:type="dxa" w:w="2160"/>
          </w:tcPr>
          <w:p>
            <w:r/>
            <w:r>
              <w:rPr>
                <w:sz w:val="19"/>
              </w:rPr>
              <w:t>Dr. Alfred Ang</w:t>
            </w:r>
          </w:p>
        </w:tc>
      </w:tr>
      <w:tr>
        <w:tc>
          <w:tcPr>
            <w:tcW w:type="dxa" w:w="2160"/>
          </w:tcPr>
          <w:p>
            <w:r/>
            <w:r>
              <w:rPr>
                <w:sz w:val="19"/>
              </w:rPr>
              <w:t>5</w:t>
            </w:r>
          </w:p>
        </w:tc>
        <w:tc>
          <w:tcPr>
            <w:tcW w:type="dxa" w:w="2160"/>
          </w:tcPr>
          <w:p>
            <w:r/>
            <w:r>
              <w:rPr>
                <w:sz w:val="19"/>
              </w:rPr>
              <w:t>23 September 2026</w:t>
            </w:r>
          </w:p>
        </w:tc>
        <w:tc>
          <w:tcPr>
            <w:tcW w:type="dxa" w:w="2160"/>
          </w:tcPr>
          <w:p>
            <w:r/>
            <w:r>
              <w:rPr>
                <w:sz w:val="19"/>
              </w:rPr>
              <w:t>Terminology aligned: 'Lab N' now reads 'Activity N' throughout, matching the activities/ folder names. Schedule footnote clarified to state that the 480-minute total counts scheduled time excluding the lunch break.</w:t>
            </w:r>
          </w:p>
        </w:tc>
        <w:tc>
          <w:tcPr>
            <w:tcW w:type="dxa" w:w="2160"/>
          </w:tcPr>
          <w:p>
            <w:r/>
            <w:r>
              <w:rPr>
                <w:sz w:val="19"/>
              </w:rPr>
              <w:t>Dr. Alfred Ang</w:t>
            </w:r>
          </w:p>
        </w:tc>
      </w:tr>
      <w:tr>
        <w:tc>
          <w:tcPr>
            <w:tcW w:type="dxa" w:w="2160"/>
          </w:tcPr>
          <w:p>
            <w:r/>
            <w:r>
              <w:rPr>
                <w:sz w:val="19"/>
              </w:rPr>
              <w:t>6</w:t>
            </w:r>
          </w:p>
        </w:tc>
        <w:tc>
          <w:tcPr>
            <w:tcW w:type="dxa" w:w="2160"/>
          </w:tcPr>
          <w:p>
            <w:r/>
            <w:r>
              <w:rPr>
                <w:sz w:val="19"/>
              </w:rPr>
              <w:t>23 September 2026</w:t>
            </w:r>
          </w:p>
        </w:tc>
        <w:tc>
          <w:tcPr>
            <w:tcW w:type="dxa" w:w="2160"/>
          </w:tcPr>
          <w:p>
            <w:r/>
            <w:r>
              <w:rPr>
                <w:sz w:val="19"/>
              </w:rPr>
              <w:t>Completed the activity rename: the remaining learner-facing 'lab' wordings in the deck, this guide and the Lesson Plan now read 'activity'. Fixed the Lesson Plan's slide-reference lookup, which stopped matching when the deck's activity markers were renamed and had dropped the [slides N-M] references from the activity rows.</w:t>
            </w:r>
          </w:p>
        </w:tc>
        <w:tc>
          <w:tcPr>
            <w:tcW w:type="dxa" w:w="2160"/>
          </w:tcPr>
          <w:p>
            <w:r/>
            <w:r>
              <w:rPr>
                <w:sz w:val="19"/>
              </w:rPr>
              <w:t>Dr. Alfred Ang</w:t>
            </w:r>
          </w:p>
        </w:tc>
      </w:tr>
      <w:tr>
        <w:tc>
          <w:tcPr>
            <w:tcW w:type="dxa" w:w="2160"/>
          </w:tcPr>
          <w:p>
            <w:r/>
            <w:r>
              <w:rPr>
                <w:sz w:val="19"/>
              </w:rPr>
              <w:t>7</w:t>
            </w:r>
          </w:p>
        </w:tc>
        <w:tc>
          <w:tcPr>
            <w:tcW w:type="dxa" w:w="2160"/>
          </w:tcPr>
          <w:p>
            <w:r/>
            <w:r>
              <w:rPr>
                <w:sz w:val="19"/>
              </w:rPr>
              <w:t>23 September 2026</w:t>
            </w:r>
          </w:p>
        </w:tc>
        <w:tc>
          <w:tcPr>
            <w:tcW w:type="dxa" w:w="2160"/>
          </w:tcPr>
          <w:p>
            <w:r/>
            <w:r>
              <w:rPr>
                <w:sz w:val="19"/>
              </w:rPr>
              <w:t>Activity step slides now carry the DMAIC phase in the eyebrow (ACTIVITY N - PHASE) instead of a character-truncated activity title.</w:t>
            </w:r>
          </w:p>
        </w:tc>
        <w:tc>
          <w:tcPr>
            <w:tcW w:type="dxa" w:w="2160"/>
          </w:tcPr>
          <w:p>
            <w:r/>
            <w:r>
              <w:rPr>
                <w:sz w:val="19"/>
              </w:rPr>
              <w:t>Dr. Alfred Ang</w:t>
            </w:r>
          </w:p>
        </w:tc>
      </w:tr>
    </w:tbl>
    <w:p>
      <w:r>
        <w:br w:type="page"/>
      </w:r>
    </w:p>
    <w:p>
      <w:pPr>
        <w:spacing w:after="120"/>
      </w:pPr>
      <w:r>
        <w:rPr>
          <w:b/>
          <w:color w:val="111827"/>
          <w:sz w:val="24"/>
        </w:rPr>
        <w:t>TABLE OF CONTENTS</w:t>
      </w:r>
    </w:p>
    <w:p>
      <w:pPr>
        <w:tabs>
          <w:tab w:pos="9072" w:val="right" w:leader="dot"/>
        </w:tabs>
        <w:spacing w:after="60"/>
      </w:pPr>
      <w:r>
        <w:rPr>
          <w:rFonts w:ascii="Arial" w:hAnsi="Arial"/>
          <w:b/>
          <w:color w:val="333333"/>
          <w:sz w:val="22"/>
        </w:rPr>
        <w:t>Course Information</w:t>
        <w:tab/>
        <w:t>5</w:t>
      </w:r>
    </w:p>
    <w:p>
      <w:pPr>
        <w:tabs>
          <w:tab w:pos="9072" w:val="right" w:leader="dot"/>
        </w:tabs>
        <w:spacing w:after="60"/>
      </w:pPr>
      <w:r>
        <w:rPr>
          <w:rFonts w:ascii="Arial" w:hAnsi="Arial"/>
          <w:b/>
          <w:color w:val="333333"/>
          <w:sz w:val="22"/>
        </w:rPr>
        <w:t>Learning Outcomes</w:t>
        <w:tab/>
        <w:t>5</w:t>
      </w:r>
    </w:p>
    <w:p>
      <w:pPr>
        <w:tabs>
          <w:tab w:pos="9072" w:val="right" w:leader="dot"/>
        </w:tabs>
        <w:spacing w:after="60"/>
      </w:pPr>
      <w:r>
        <w:rPr>
          <w:rFonts w:ascii="Arial" w:hAnsi="Arial"/>
          <w:b/>
          <w:color w:val="333333"/>
          <w:sz w:val="22"/>
        </w:rPr>
        <w:t>Course Schedule</w:t>
        <w:tab/>
        <w:t>5</w:t>
      </w:r>
    </w:p>
    <w:p>
      <w:pPr>
        <w:tabs>
          <w:tab w:pos="9072" w:val="right" w:leader="dot"/>
        </w:tabs>
        <w:spacing w:after="60"/>
        <w:ind w:left="432"/>
      </w:pPr>
      <w:r>
        <w:rPr>
          <w:rFonts w:ascii="Arial" w:hAnsi="Arial"/>
          <w:b w:val="0"/>
          <w:color w:val="333333"/>
          <w:sz w:val="21"/>
        </w:rPr>
        <w:t>Day 1 — Lean Six Sigma foundations and the full DMAIC roadmap</w:t>
        <w:tab/>
        <w:t>5</w:t>
      </w:r>
    </w:p>
    <w:p>
      <w:pPr>
        <w:tabs>
          <w:tab w:pos="9072" w:val="right" w:leader="dot"/>
        </w:tabs>
        <w:spacing w:after="60"/>
      </w:pPr>
      <w:r>
        <w:rPr>
          <w:rFonts w:ascii="Arial" w:hAnsi="Arial"/>
          <w:b/>
          <w:color w:val="333333"/>
          <w:sz w:val="22"/>
        </w:rPr>
        <w:t>Activity Reference (aligned to the DMAIC phases)</w:t>
        <w:tab/>
        <w:t>7</w:t>
      </w:r>
    </w:p>
    <w:p>
      <w:r>
        <w:br w:type="page"/>
      </w:r>
    </w:p>
    <w:p>
      <w:pPr>
        <w:pStyle w:val="Heading1"/>
      </w:pPr>
      <w:r>
        <w:t>Course Information</w:t>
      </w:r>
    </w:p>
    <w:tbl>
      <w:tblPr>
        <w:tblStyle w:val="TableGrid"/>
        <w:tblW w:type="auto" w:w="0"/>
        <w:tblLook w:firstColumn="1" w:firstRow="1" w:lastColumn="0" w:lastRow="0" w:noHBand="0" w:noVBand="1" w:val="04A0"/>
      </w:tblPr>
      <w:tblGrid>
        <w:gridCol w:w="4320"/>
        <w:gridCol w:w="4320"/>
      </w:tblGrid>
      <w:tr>
        <w:tc>
          <w:tcPr>
            <w:tcW w:type="dxa" w:w="4320"/>
            <w:shd w:val="clear" w:color="auto" w:fill="E8F0FE"/>
          </w:tcPr>
          <w:p>
            <w:r/>
            <w:r>
              <w:rPr>
                <w:b/>
                <w:sz w:val="20"/>
              </w:rPr>
              <w:t>Course Title</w:t>
            </w:r>
          </w:p>
        </w:tc>
        <w:tc>
          <w:tcPr>
            <w:tcW w:type="dxa" w:w="4320"/>
          </w:tcPr>
          <w:p>
            <w:r>
              <w:t>Certified Lean Six Sigma White Belt (CLSSWB)</w:t>
            </w:r>
            <w:r>
              <w:rPr>
                <w:sz w:val="20"/>
              </w:rPr>
            </w:r>
          </w:p>
        </w:tc>
      </w:tr>
      <w:tr>
        <w:tc>
          <w:tcPr>
            <w:tcW w:type="dxa" w:w="4320"/>
            <w:shd w:val="clear" w:color="auto" w:fill="E8F0FE"/>
          </w:tcPr>
          <w:p>
            <w:r>
              <w:t>Course Reference</w:t>
            </w:r>
            <w:r>
              <w:rPr>
                <w:b/>
                <w:sz w:val="20"/>
              </w:rPr>
            </w:r>
          </w:p>
        </w:tc>
        <w:tc>
          <w:tcPr>
            <w:tcW w:type="dxa" w:w="4320"/>
          </w:tcPr>
          <w:p>
            <w:r>
              <w:t>C142</w:t>
            </w:r>
            <w:r>
              <w:rPr>
                <w:sz w:val="20"/>
              </w:rPr>
            </w:r>
          </w:p>
        </w:tc>
      </w:tr>
      <w:tr>
        <w:tc>
          <w:tcPr>
            <w:tcW w:type="dxa" w:w="4320"/>
            <w:shd w:val="clear" w:color="auto" w:fill="E8F0FE"/>
          </w:tcPr>
          <w:p>
            <w:r/>
            <w:r>
              <w:rPr>
                <w:b/>
                <w:sz w:val="20"/>
              </w:rPr>
              <w:t>Training Provider</w:t>
            </w:r>
          </w:p>
        </w:tc>
        <w:tc>
          <w:tcPr>
            <w:tcW w:type="dxa" w:w="4320"/>
          </w:tcPr>
          <w:p>
            <w:r/>
            <w:r>
              <w:rPr>
                <w:sz w:val="20"/>
              </w:rPr>
              <w:t>Tertiary Infotech Academy Pte Ltd  (UEN 201200696W)</w:t>
            </w:r>
          </w:p>
        </w:tc>
      </w:tr>
      <w:tr>
        <w:tc>
          <w:tcPr>
            <w:tcW w:type="dxa" w:w="4320"/>
            <w:shd w:val="clear" w:color="auto" w:fill="E8F0FE"/>
          </w:tcPr>
          <w:p>
            <w:r/>
            <w:r>
              <w:rPr>
                <w:b/>
                <w:sz w:val="20"/>
              </w:rPr>
              <w:t>Duration</w:t>
            </w:r>
          </w:p>
        </w:tc>
        <w:tc>
          <w:tcPr>
            <w:tcW w:type="dxa" w:w="4320"/>
          </w:tcPr>
          <w:p>
            <w:r>
              <w:t>1 day · 7.5 instructional hours</w:t>
            </w:r>
            <w:r>
              <w:rPr>
                <w:sz w:val="20"/>
              </w:rPr>
            </w:r>
          </w:p>
        </w:tc>
      </w:tr>
      <w:tr>
        <w:tc>
          <w:tcPr>
            <w:tcW w:type="dxa" w:w="4320"/>
            <w:shd w:val="clear" w:color="auto" w:fill="E8F0FE"/>
          </w:tcPr>
          <w:p>
            <w:r/>
            <w:r>
              <w:rPr>
                <w:b/>
                <w:sz w:val="20"/>
              </w:rPr>
              <w:t>Daily Timing</w:t>
            </w:r>
          </w:p>
        </w:tc>
        <w:tc>
          <w:tcPr>
            <w:tcW w:type="dxa" w:w="4320"/>
          </w:tcPr>
          <w:p>
            <w:r>
              <w:t>9:30 am – 5:30 pm (30-minute lunch)</w:t>
            </w:r>
            <w:r>
              <w:rPr>
                <w:sz w:val="20"/>
              </w:rPr>
            </w:r>
          </w:p>
        </w:tc>
      </w:tr>
      <w:tr>
        <w:tc>
          <w:tcPr>
            <w:tcW w:type="dxa" w:w="4320"/>
            <w:shd w:val="clear" w:color="auto" w:fill="E8F0FE"/>
          </w:tcPr>
          <w:p>
            <w:r/>
            <w:r>
              <w:rPr>
                <w:b/>
                <w:sz w:val="20"/>
              </w:rPr>
              <w:t>Mode</w:t>
            </w:r>
          </w:p>
        </w:tc>
        <w:tc>
          <w:tcPr>
            <w:tcW w:type="dxa" w:w="4320"/>
          </w:tcPr>
          <w:p>
            <w:r/>
            <w:r>
              <w:rPr>
                <w:sz w:val="20"/>
              </w:rPr>
              <w:t>Instructor-led, hands-on Lean Six Sigma activities using the BrewBean Cafe morning rush improvement scenario</w:t>
            </w:r>
          </w:p>
        </w:tc>
      </w:tr>
      <w:tr>
        <w:tc>
          <w:tcPr>
            <w:tcW w:type="dxa" w:w="4320"/>
            <w:shd w:val="clear" w:color="auto" w:fill="E8F0FE"/>
          </w:tcPr>
          <w:p>
            <w:r/>
            <w:r>
              <w:rPr>
                <w:b/>
                <w:sz w:val="20"/>
              </w:rPr>
              <w:t>Trainer</w:t>
            </w:r>
          </w:p>
        </w:tc>
        <w:tc>
          <w:tcPr>
            <w:tcW w:type="dxa" w:w="4320"/>
          </w:tcPr>
          <w:p>
            <w:r/>
            <w:r>
              <w:rPr>
                <w:sz w:val="20"/>
              </w:rPr>
              <w:t>Dr. Alfred Ang</w:t>
            </w:r>
          </w:p>
        </w:tc>
      </w:tr>
    </w:tbl>
    <w:p>
      <w:pPr>
        <w:pStyle w:val="Heading1"/>
      </w:pPr>
      <w:r>
        <w:t>Learning Outcomes</w:t>
      </w:r>
    </w:p>
    <w:p>
      <w:r>
        <w:t>On completion of this course, learners will be able to:</w:t>
      </w:r>
    </w:p>
    <w:p>
      <w:pPr>
        <w:pStyle w:val="ListBullet"/>
      </w:pPr>
      <w:r>
        <w:rPr>
          <w:sz w:val="21"/>
        </w:rPr>
        <w:t>LO1: Describe the core concepts of quality, Lean, Six Sigma and Lean Six Sigma, and the belt roles in an improvement team.</w:t>
      </w:r>
    </w:p>
    <w:p>
      <w:pPr>
        <w:pStyle w:val="ListBullet"/>
      </w:pPr>
      <w:r>
        <w:rPr>
          <w:sz w:val="21"/>
        </w:rPr>
        <w:t>LO2: Explain the five phases of the DMAIC roadmap and what happens in each.</w:t>
      </w:r>
    </w:p>
    <w:p>
      <w:pPr>
        <w:pStyle w:val="ListBullet"/>
      </w:pPr>
      <w:r>
        <w:rPr>
          <w:sz w:val="21"/>
        </w:rPr>
        <w:t>LO3: Identify customer requirements and a clear problem statement in the Define phase.</w:t>
      </w:r>
    </w:p>
    <w:p>
      <w:pPr>
        <w:pStyle w:val="ListBullet"/>
      </w:pPr>
      <w:r>
        <w:rPr>
          <w:sz w:val="21"/>
        </w:rPr>
        <w:t>LO4: Describe how a process is mapped and measured, and identify the eight wastes in the Measure phase.</w:t>
      </w:r>
    </w:p>
    <w:p>
      <w:pPr>
        <w:pStyle w:val="ListBullet"/>
      </w:pPr>
      <w:r>
        <w:rPr>
          <w:sz w:val="21"/>
        </w:rPr>
        <w:t>LO5: Identify likely causes of a problem using 5 Whys and Fishbone analysis in the Analyze phase.</w:t>
      </w:r>
    </w:p>
    <w:p>
      <w:pPr>
        <w:pStyle w:val="ListBullet"/>
      </w:pPr>
      <w:r>
        <w:rPr>
          <w:sz w:val="21"/>
        </w:rPr>
        <w:t>LO6: Describe common improvement and control actions that fix a cause and hold the gain.</w:t>
      </w:r>
    </w:p>
    <w:p>
      <w:pPr>
        <w:pStyle w:val="Heading1"/>
      </w:pPr>
      <w:r>
        <w:t>Course Schedule</w:t>
      </w:r>
    </w:p>
    <w:p>
      <w:pPr>
        <w:pStyle w:val="Heading2"/>
      </w:pPr>
      <w:r>
        <w:t>Day 1 — Lean Six Sigma foundations and the full DMAIC roadmap</w:t>
      </w:r>
    </w:p>
    <w:tbl>
      <w:tblPr>
        <w:tblStyle w:val="TableGrid"/>
        <w:tblW w:type="auto" w:w="0"/>
        <w:jc w:val="center"/>
        <w:tblLook w:firstColumn="1" w:firstRow="1" w:lastColumn="0" w:lastRow="0" w:noHBand="0" w:noVBand="1" w:val="04A0"/>
      </w:tblPr>
      <w:tblGrid>
        <w:gridCol w:w="2880"/>
        <w:gridCol w:w="2880"/>
        <w:gridCol w:w="2880"/>
      </w:tblGrid>
      <w:tr>
        <w:tc>
          <w:tcPr>
            <w:tcW w:type="dxa" w:w="1656"/>
            <w:shd w:val="clear" w:color="auto" w:fill="1F6FEB"/>
          </w:tcPr>
          <w:p>
            <w:r/>
            <w:r>
              <w:rPr>
                <w:rFonts w:ascii="Arial" w:hAnsi="Arial"/>
                <w:b/>
                <w:color w:val="FFFFFF"/>
                <w:sz w:val="20"/>
              </w:rPr>
              <w:t>Time</w:t>
            </w:r>
          </w:p>
        </w:tc>
        <w:tc>
          <w:tcPr>
            <w:tcW w:type="dxa" w:w="1296"/>
            <w:shd w:val="clear" w:color="auto" w:fill="1F6FEB"/>
          </w:tcPr>
          <w:p>
            <w:r/>
            <w:r>
              <w:rPr>
                <w:rFonts w:ascii="Arial" w:hAnsi="Arial"/>
                <w:b/>
                <w:color w:val="FFFFFF"/>
                <w:sz w:val="20"/>
              </w:rPr>
              <w:t>Duration</w:t>
            </w:r>
          </w:p>
        </w:tc>
        <w:tc>
          <w:tcPr>
            <w:tcW w:type="dxa" w:w="6840"/>
            <w:shd w:val="clear" w:color="auto" w:fill="1F6FEB"/>
          </w:tcPr>
          <w:p>
            <w:r/>
            <w:r>
              <w:rPr>
                <w:rFonts w:ascii="Arial" w:hAnsi="Arial"/>
                <w:b/>
                <w:color w:val="FFFFFF"/>
                <w:sz w:val="20"/>
              </w:rPr>
              <w:t>Topic / Activity</w:t>
            </w:r>
          </w:p>
        </w:tc>
      </w:tr>
      <w:tr>
        <w:tc>
          <w:tcPr>
            <w:tcW w:type="dxa" w:w="1656"/>
            <w:shd w:val="clear" w:color="auto" w:fill="F3F5F8"/>
          </w:tcPr>
          <w:p>
            <w:r>
              <w:t>9:30–10:00</w:t>
            </w:r>
            <w:r>
              <w:rPr>
                <w:rFonts w:ascii="Arial" w:hAnsi="Arial"/>
                <w:b/>
                <w:sz w:val="19"/>
              </w:rPr>
            </w:r>
          </w:p>
        </w:tc>
        <w:tc>
          <w:tcPr>
            <w:tcW w:type="dxa" w:w="1296"/>
            <w:shd w:val="clear" w:color="auto" w:fill="F3F5F8"/>
          </w:tcPr>
          <w:p>
            <w:r>
              <w:t>30 min</w:t>
            </w:r>
            <w:r>
              <w:rPr>
                <w:rFonts w:ascii="Arial" w:hAnsi="Arial"/>
                <w:b w:val="0"/>
                <w:sz w:val="19"/>
              </w:rPr>
            </w:r>
          </w:p>
        </w:tc>
        <w:tc>
          <w:tcPr>
            <w:tcW w:type="dxa" w:w="6840"/>
            <w:shd w:val="clear" w:color="auto" w:fill="F3F5F8"/>
          </w:tcPr>
          <w:p>
            <w:r>
              <w:t>Welcome, course introduction and ground rules  [slides 1–8]</w:t>
            </w:r>
            <w:r>
              <w:rPr>
                <w:rFonts w:ascii="Arial" w:hAnsi="Arial"/>
                <w:b/>
                <w:sz w:val="19"/>
              </w:rPr>
            </w:r>
          </w:p>
        </w:tc>
      </w:tr>
      <w:tr>
        <w:tc>
          <w:tcPr>
            <w:tcW w:type="dxa" w:w="1656"/>
            <w:shd w:val="clear" w:color="auto" w:fill="E8F0FE"/>
          </w:tcPr>
          <w:p>
            <w:r>
              <w:t>10:00–11:15</w:t>
            </w:r>
            <w:r>
              <w:rPr>
                <w:rFonts w:ascii="Arial" w:hAnsi="Arial"/>
                <w:b/>
                <w:sz w:val="19"/>
              </w:rPr>
            </w:r>
          </w:p>
        </w:tc>
        <w:tc>
          <w:tcPr>
            <w:tcW w:type="dxa" w:w="1296"/>
            <w:shd w:val="clear" w:color="auto" w:fill="E8F0FE"/>
          </w:tcPr>
          <w:p>
            <w:r>
              <w:t>75 min</w:t>
            </w:r>
            <w:r>
              <w:rPr>
                <w:rFonts w:ascii="Arial" w:hAnsi="Arial"/>
                <w:b w:val="0"/>
                <w:sz w:val="19"/>
              </w:rPr>
            </w:r>
          </w:p>
        </w:tc>
        <w:tc>
          <w:tcPr>
            <w:tcW w:type="dxa" w:w="6840"/>
            <w:shd w:val="clear" w:color="auto" w:fill="E8F0FE"/>
          </w:tcPr>
          <w:p>
            <w:r>
              <w:t>FOUNDATIONS — What is Quality; What is Lean; What is Six Sigma; Lean vs Six Sigma vs Lean Six Sigma; the belt roles and where a White Belt contributes; the DMAIC roadmap  [slides 9–16]</w:t>
            </w:r>
            <w:r>
              <w:rPr>
                <w:rFonts w:ascii="Arial" w:hAnsi="Arial"/>
                <w:b/>
                <w:sz w:val="19"/>
              </w:rPr>
            </w:r>
          </w:p>
        </w:tc>
      </w:tr>
      <w:tr>
        <w:tc>
          <w:tcPr>
            <w:tcW w:type="dxa" w:w="1656"/>
            <w:shd w:val="clear" w:color="auto" w:fill="E8F0FE"/>
          </w:tcPr>
          <w:p>
            <w:r>
              <w:t>11:15–12:05</w:t>
            </w:r>
            <w:r>
              <w:rPr>
                <w:rFonts w:ascii="Arial" w:hAnsi="Arial"/>
                <w:b/>
                <w:sz w:val="19"/>
              </w:rPr>
            </w:r>
          </w:p>
        </w:tc>
        <w:tc>
          <w:tcPr>
            <w:tcW w:type="dxa" w:w="1296"/>
            <w:shd w:val="clear" w:color="auto" w:fill="E8F0FE"/>
          </w:tcPr>
          <w:p>
            <w:r>
              <w:t>50 min</w:t>
            </w:r>
            <w:r>
              <w:rPr>
                <w:rFonts w:ascii="Arial" w:hAnsi="Arial"/>
                <w:b w:val="0"/>
                <w:sz w:val="19"/>
              </w:rPr>
            </w:r>
          </w:p>
        </w:tc>
        <w:tc>
          <w:tcPr>
            <w:tcW w:type="dxa" w:w="6840"/>
            <w:shd w:val="clear" w:color="auto" w:fill="E8F0FE"/>
          </w:tcPr>
          <w:p>
            <w:r>
              <w:t>DMAIC · DEFINE — Voice of the Customer; VOC to CTQ translation; problem statements; SMART goals; the project charter and scope  [slides 17–29]</w:t>
            </w:r>
            <w:r>
              <w:rPr>
                <w:rFonts w:ascii="Arial" w:hAnsi="Arial"/>
                <w:b/>
                <w:sz w:val="19"/>
              </w:rPr>
            </w:r>
          </w:p>
        </w:tc>
      </w:tr>
      <w:tr>
        <w:tc>
          <w:tcPr>
            <w:tcW w:type="dxa" w:w="1656"/>
            <w:shd w:val="clear" w:color="auto" w:fill="E8F0FE"/>
          </w:tcPr>
          <w:p>
            <w:r>
              <w:t>12:05–12:40</w:t>
            </w:r>
            <w:r>
              <w:rPr>
                <w:rFonts w:ascii="Arial" w:hAnsi="Arial"/>
                <w:b/>
                <w:sz w:val="19"/>
              </w:rPr>
            </w:r>
          </w:p>
        </w:tc>
        <w:tc>
          <w:tcPr>
            <w:tcW w:type="dxa" w:w="1296"/>
            <w:shd w:val="clear" w:color="auto" w:fill="E8F0FE"/>
          </w:tcPr>
          <w:p>
            <w:r>
              <w:t>35 min</w:t>
            </w:r>
            <w:r>
              <w:rPr>
                <w:rFonts w:ascii="Arial" w:hAnsi="Arial"/>
                <w:b w:val="0"/>
                <w:sz w:val="19"/>
              </w:rPr>
            </w:r>
          </w:p>
        </w:tc>
        <w:tc>
          <w:tcPr>
            <w:tcW w:type="dxa" w:w="6840"/>
            <w:shd w:val="clear" w:color="auto" w:fill="E8F0FE"/>
          </w:tcPr>
          <w:p>
            <w:r>
              <w:t>Hands-on Activity: Activity 1: Define — Customer Requirements and the Problem Statement  [slides 30–36]</w:t>
            </w:r>
            <w:r>
              <w:rPr>
                <w:rFonts w:ascii="Arial" w:hAnsi="Arial"/>
                <w:b/>
                <w:sz w:val="19"/>
              </w:rPr>
            </w:r>
          </w:p>
        </w:tc>
      </w:tr>
      <w:tr>
        <w:tc>
          <w:tcPr>
            <w:tcW w:type="dxa" w:w="1656"/>
            <w:shd w:val="clear" w:color="auto" w:fill="FFF4E5"/>
          </w:tcPr>
          <w:p>
            <w:r>
              <w:t>12:40–13:10</w:t>
            </w:r>
            <w:r>
              <w:rPr>
                <w:rFonts w:ascii="Arial" w:hAnsi="Arial"/>
                <w:b/>
                <w:sz w:val="19"/>
              </w:rPr>
            </w:r>
          </w:p>
        </w:tc>
        <w:tc>
          <w:tcPr>
            <w:tcW w:type="dxa" w:w="1296"/>
            <w:shd w:val="clear" w:color="auto" w:fill="FFF4E5"/>
          </w:tcPr>
          <w:p>
            <w:r>
              <w:t>30 min</w:t>
            </w:r>
            <w:r>
              <w:rPr>
                <w:rFonts w:ascii="Arial" w:hAnsi="Arial"/>
                <w:b w:val="0"/>
                <w:sz w:val="19"/>
              </w:rPr>
            </w:r>
          </w:p>
        </w:tc>
        <w:tc>
          <w:tcPr>
            <w:tcW w:type="dxa" w:w="6840"/>
            <w:shd w:val="clear" w:color="auto" w:fill="FFF4E5"/>
          </w:tcPr>
          <w:p>
            <w:r>
              <w:t>Lunch break</w:t>
            </w:r>
            <w:r>
              <w:rPr>
                <w:rFonts w:ascii="Arial" w:hAnsi="Arial"/>
                <w:b/>
                <w:sz w:val="19"/>
              </w:rPr>
            </w:r>
          </w:p>
        </w:tc>
      </w:tr>
      <w:tr>
        <w:tc>
          <w:tcPr>
            <w:tcW w:type="dxa" w:w="1656"/>
            <w:shd w:val="clear" w:color="auto" w:fill="E8F0FE"/>
          </w:tcPr>
          <w:p>
            <w:r>
              <w:t>13:10–14:00</w:t>
            </w:r>
            <w:r>
              <w:rPr>
                <w:rFonts w:ascii="Arial" w:hAnsi="Arial"/>
                <w:b/>
                <w:sz w:val="19"/>
              </w:rPr>
            </w:r>
          </w:p>
        </w:tc>
        <w:tc>
          <w:tcPr>
            <w:tcW w:type="dxa" w:w="1296"/>
            <w:shd w:val="clear" w:color="auto" w:fill="E8F0FE"/>
          </w:tcPr>
          <w:p>
            <w:r>
              <w:t>50 min</w:t>
            </w:r>
            <w:r>
              <w:rPr>
                <w:rFonts w:ascii="Arial" w:hAnsi="Arial"/>
                <w:b w:val="0"/>
                <w:sz w:val="19"/>
              </w:rPr>
            </w:r>
          </w:p>
        </w:tc>
        <w:tc>
          <w:tcPr>
            <w:tcW w:type="dxa" w:w="6840"/>
            <w:shd w:val="clear" w:color="auto" w:fill="E8F0FE"/>
          </w:tcPr>
          <w:p>
            <w:r>
              <w:t>DMAIC · MEASURE — process mapping; SIPOC; types of data; data collection plans; check sheets; the eight wastes (DOWNTIME); value-added analysis  [slides 37–48]</w:t>
            </w:r>
            <w:r>
              <w:rPr>
                <w:rFonts w:ascii="Arial" w:hAnsi="Arial"/>
                <w:b/>
                <w:sz w:val="19"/>
              </w:rPr>
            </w:r>
          </w:p>
        </w:tc>
      </w:tr>
      <w:tr>
        <w:tc>
          <w:tcPr>
            <w:tcW w:type="dxa" w:w="1656"/>
            <w:shd w:val="clear" w:color="auto" w:fill="E8F0FE"/>
          </w:tcPr>
          <w:p>
            <w:r>
              <w:t>14:00–14:35</w:t>
            </w:r>
            <w:r>
              <w:rPr>
                <w:rFonts w:ascii="Arial" w:hAnsi="Arial"/>
                <w:b/>
                <w:sz w:val="19"/>
              </w:rPr>
            </w:r>
          </w:p>
        </w:tc>
        <w:tc>
          <w:tcPr>
            <w:tcW w:type="dxa" w:w="1296"/>
            <w:shd w:val="clear" w:color="auto" w:fill="E8F0FE"/>
          </w:tcPr>
          <w:p>
            <w:r>
              <w:t>35 min</w:t>
            </w:r>
            <w:r>
              <w:rPr>
                <w:rFonts w:ascii="Arial" w:hAnsi="Arial"/>
                <w:b w:val="0"/>
                <w:sz w:val="19"/>
              </w:rPr>
            </w:r>
          </w:p>
        </w:tc>
        <w:tc>
          <w:tcPr>
            <w:tcW w:type="dxa" w:w="6840"/>
            <w:shd w:val="clear" w:color="auto" w:fill="E8F0FE"/>
          </w:tcPr>
          <w:p>
            <w:r>
              <w:t>Hands-on Activity: Activity 2: Measure — Map the Process and Spot the Waste  [slides 49–56]</w:t>
            </w:r>
            <w:r>
              <w:rPr>
                <w:rFonts w:ascii="Arial" w:hAnsi="Arial"/>
                <w:b/>
                <w:sz w:val="19"/>
              </w:rPr>
            </w:r>
          </w:p>
        </w:tc>
      </w:tr>
      <w:tr>
        <w:tc>
          <w:tcPr>
            <w:tcW w:type="dxa" w:w="1656"/>
            <w:shd w:val="clear" w:color="auto" w:fill="E8F0FE"/>
          </w:tcPr>
          <w:p>
            <w:r>
              <w:t>14:35–15:25</w:t>
            </w:r>
            <w:r>
              <w:rPr>
                <w:rFonts w:ascii="Arial" w:hAnsi="Arial"/>
                <w:b/>
                <w:sz w:val="19"/>
              </w:rPr>
            </w:r>
          </w:p>
        </w:tc>
        <w:tc>
          <w:tcPr>
            <w:tcW w:type="dxa" w:w="1296"/>
            <w:shd w:val="clear" w:color="auto" w:fill="E8F0FE"/>
          </w:tcPr>
          <w:p>
            <w:r>
              <w:t>50 min</w:t>
            </w:r>
            <w:r>
              <w:rPr>
                <w:rFonts w:ascii="Arial" w:hAnsi="Arial"/>
                <w:b w:val="0"/>
                <w:sz w:val="19"/>
              </w:rPr>
            </w:r>
          </w:p>
        </w:tc>
        <w:tc>
          <w:tcPr>
            <w:tcW w:type="dxa" w:w="6840"/>
            <w:shd w:val="clear" w:color="auto" w:fill="E8F0FE"/>
          </w:tcPr>
          <w:p>
            <w:r>
              <w:t>DMAIC · ANALYZE — symptom vs root cause; 5 Whys; Fishbone (5M); reading a Pareto chart; common vs special cause variation  [slides 57–68]</w:t>
            </w:r>
            <w:r>
              <w:rPr>
                <w:rFonts w:ascii="Arial" w:hAnsi="Arial"/>
                <w:b/>
                <w:sz w:val="19"/>
              </w:rPr>
            </w:r>
          </w:p>
        </w:tc>
      </w:tr>
      <w:tr>
        <w:tc>
          <w:tcPr>
            <w:tcW w:type="dxa" w:w="1656"/>
            <w:shd w:val="clear" w:color="auto" w:fill="E8F0FE"/>
          </w:tcPr>
          <w:p>
            <w:r>
              <w:t>15:25–16:00</w:t>
            </w:r>
            <w:r>
              <w:rPr>
                <w:rFonts w:ascii="Arial" w:hAnsi="Arial"/>
                <w:b/>
                <w:sz w:val="19"/>
              </w:rPr>
            </w:r>
          </w:p>
        </w:tc>
        <w:tc>
          <w:tcPr>
            <w:tcW w:type="dxa" w:w="1296"/>
            <w:shd w:val="clear" w:color="auto" w:fill="E8F0FE"/>
          </w:tcPr>
          <w:p>
            <w:r>
              <w:t>35 min</w:t>
            </w:r>
            <w:r>
              <w:rPr>
                <w:rFonts w:ascii="Arial" w:hAnsi="Arial"/>
                <w:b w:val="0"/>
                <w:sz w:val="19"/>
              </w:rPr>
            </w:r>
          </w:p>
        </w:tc>
        <w:tc>
          <w:tcPr>
            <w:tcW w:type="dxa" w:w="6840"/>
            <w:shd w:val="clear" w:color="auto" w:fill="E8F0FE"/>
          </w:tcPr>
          <w:p>
            <w:r>
              <w:t>Hands-on Activity: Activity 3: Analyze — Find the Root Cause using the 5 Whys and Fishbone tools  [slides 69–76]</w:t>
            </w:r>
            <w:r>
              <w:rPr>
                <w:rFonts w:ascii="Arial" w:hAnsi="Arial"/>
                <w:b/>
                <w:sz w:val="19"/>
              </w:rPr>
            </w:r>
          </w:p>
        </w:tc>
      </w:tr>
      <w:tr>
        <w:tc>
          <w:tcPr>
            <w:tcW w:type="dxa" w:w="1656"/>
            <w:shd w:val="clear" w:color="auto" w:fill="E8F0FE"/>
          </w:tcPr>
          <w:p>
            <w:r>
              <w:t>16:00–16:25</w:t>
            </w:r>
            <w:r>
              <w:rPr>
                <w:rFonts w:ascii="Arial" w:hAnsi="Arial"/>
                <w:b/>
                <w:sz w:val="19"/>
              </w:rPr>
            </w:r>
          </w:p>
        </w:tc>
        <w:tc>
          <w:tcPr>
            <w:tcW w:type="dxa" w:w="1296"/>
            <w:shd w:val="clear" w:color="auto" w:fill="E8F0FE"/>
          </w:tcPr>
          <w:p>
            <w:r>
              <w:t>25 min</w:t>
            </w:r>
            <w:r>
              <w:rPr>
                <w:rFonts w:ascii="Arial" w:hAnsi="Arial"/>
                <w:b w:val="0"/>
                <w:sz w:val="19"/>
              </w:rPr>
            </w:r>
          </w:p>
        </w:tc>
        <w:tc>
          <w:tcPr>
            <w:tcW w:type="dxa" w:w="6840"/>
            <w:shd w:val="clear" w:color="auto" w:fill="E8F0FE"/>
          </w:tcPr>
          <w:p>
            <w:r>
              <w:t>DMAIC · IMPROVE — generating solutions; impact/effort screening; 5S; mistake proofing (Poka-Yoke); standard work; piloting  [slides 77–87]. Hands-on: Activity 4: Improve — Choose and Pilot a Countermeasure  [slides 88–95]</w:t>
            </w:r>
            <w:r>
              <w:rPr>
                <w:rFonts w:ascii="Arial" w:hAnsi="Arial"/>
                <w:b/>
                <w:sz w:val="19"/>
              </w:rPr>
            </w:r>
          </w:p>
        </w:tc>
      </w:tr>
      <w:tr>
        <w:tc>
          <w:tcPr>
            <w:tcW w:type="dxa" w:w="1656"/>
            <w:shd w:val="clear" w:color="auto" w:fill="E8F0FE"/>
          </w:tcPr>
          <w:p>
            <w:r>
              <w:t>16:25–16:50</w:t>
            </w:r>
            <w:r>
              <w:rPr>
                <w:rFonts w:ascii="Arial" w:hAnsi="Arial"/>
                <w:b/>
                <w:sz w:val="19"/>
              </w:rPr>
            </w:r>
          </w:p>
        </w:tc>
        <w:tc>
          <w:tcPr>
            <w:tcW w:type="dxa" w:w="1296"/>
            <w:shd w:val="clear" w:color="auto" w:fill="E8F0FE"/>
          </w:tcPr>
          <w:p>
            <w:r>
              <w:t>25 min</w:t>
            </w:r>
            <w:r>
              <w:rPr>
                <w:rFonts w:ascii="Arial" w:hAnsi="Arial"/>
                <w:b w:val="0"/>
                <w:sz w:val="19"/>
              </w:rPr>
            </w:r>
          </w:p>
        </w:tc>
        <w:tc>
          <w:tcPr>
            <w:tcW w:type="dxa" w:w="6840"/>
            <w:shd w:val="clear" w:color="auto" w:fill="E8F0FE"/>
          </w:tcPr>
          <w:p>
            <w:r>
              <w:t>DMAIC · CONTROL — the control plan; visual management; SOPs; team huddles; handover  [slides 96–104]. Hands-on: Activity 5: Control — Hold the Gain and Hand Over  [slides 105–112]</w:t>
            </w:r>
            <w:r>
              <w:rPr>
                <w:rFonts w:ascii="Arial" w:hAnsi="Arial"/>
                <w:b/>
                <w:sz w:val="19"/>
              </w:rPr>
            </w:r>
          </w:p>
        </w:tc>
      </w:tr>
      <w:tr>
        <w:tc>
          <w:tcPr>
            <w:tcW w:type="dxa" w:w="1656"/>
            <w:shd w:val="clear" w:color="auto" w:fill="E8F0FE"/>
          </w:tcPr>
          <w:p>
            <w:r>
              <w:t>16:50–17:30</w:t>
            </w:r>
            <w:r>
              <w:rPr>
                <w:rFonts w:ascii="Arial" w:hAnsi="Arial"/>
                <w:b/>
                <w:sz w:val="19"/>
              </w:rPr>
            </w:r>
          </w:p>
        </w:tc>
        <w:tc>
          <w:tcPr>
            <w:tcW w:type="dxa" w:w="1296"/>
            <w:shd w:val="clear" w:color="auto" w:fill="E8F0FE"/>
          </w:tcPr>
          <w:p>
            <w:r>
              <w:t>40 min</w:t>
            </w:r>
            <w:r>
              <w:rPr>
                <w:rFonts w:ascii="Arial" w:hAnsi="Arial"/>
                <w:b w:val="0"/>
                <w:sz w:val="19"/>
              </w:rPr>
            </w:r>
          </w:p>
        </w:tc>
        <w:tc>
          <w:tcPr>
            <w:tcW w:type="dxa" w:w="6840"/>
            <w:shd w:val="clear" w:color="auto" w:fill="E8F0FE"/>
          </w:tcPr>
          <w:p>
            <w:r>
              <w:t>Course recap and revision  [slides 118–125]</w:t>
            </w:r>
            <w:r>
              <w:rPr>
                <w:rFonts w:ascii="Arial" w:hAnsi="Arial"/>
                <w:b/>
                <w:sz w:val="19"/>
              </w:rPr>
            </w:r>
          </w:p>
        </w:tc>
      </w:tr>
    </w:tbl>
    <w:p>
      <w:r>
        <w:rPr>
          <w:i/>
          <w:color w:val="555B66"/>
          <w:sz w:val="19"/>
        </w:rPr>
        <w:t>Total instructional time: 450 minutes (7.5 hours) — scheduled from 9:30 am to 5:30 pm, excluding the 30-minute lunch break.</w:t>
      </w:r>
    </w:p>
    <w:p>
      <w:pPr>
        <w:pStyle w:val="Heading1"/>
      </w:pPr>
      <w:r>
        <w:t>Activity Reference (aligned to the DMAIC phases)</w:t>
      </w:r>
    </w:p>
    <w:tbl>
      <w:tblPr>
        <w:tblStyle w:val="TableGrid"/>
        <w:tblW w:type="auto" w:w="0"/>
        <w:tblLook w:firstColumn="1" w:firstRow="1" w:lastColumn="0" w:lastRow="0" w:noHBand="0" w:noVBand="1" w:val="04A0"/>
      </w:tblPr>
      <w:tblGrid>
        <w:gridCol w:w="2160"/>
        <w:gridCol w:w="2160"/>
        <w:gridCol w:w="2160"/>
        <w:gridCol w:w="2160"/>
      </w:tblGrid>
      <w:tr>
        <w:tc>
          <w:tcPr>
            <w:tcW w:type="dxa" w:w="2232"/>
            <w:shd w:val="clear" w:color="auto" w:fill="1F6FEB"/>
          </w:tcPr>
          <w:p>
            <w:r/>
            <w:r>
              <w:rPr>
                <w:rFonts w:ascii="Arial" w:hAnsi="Arial"/>
                <w:b/>
                <w:color w:val="FFFFFF"/>
                <w:sz w:val="20"/>
              </w:rPr>
              <w:t>DMAIC phase / Topic</w:t>
            </w:r>
          </w:p>
        </w:tc>
        <w:tc>
          <w:tcPr>
            <w:tcW w:type="dxa" w:w="1008"/>
            <w:shd w:val="clear" w:color="auto" w:fill="1F6FEB"/>
          </w:tcPr>
          <w:p>
            <w:r/>
            <w:r>
              <w:rPr>
                <w:rFonts w:ascii="Arial" w:hAnsi="Arial"/>
                <w:b/>
                <w:color w:val="FFFFFF"/>
                <w:sz w:val="20"/>
              </w:rPr>
              <w:t>Weighting</w:t>
            </w:r>
          </w:p>
        </w:tc>
        <w:tc>
          <w:tcPr>
            <w:tcW w:type="dxa" w:w="1512"/>
            <w:shd w:val="clear" w:color="auto" w:fill="1F6FEB"/>
          </w:tcPr>
          <w:p>
            <w:r/>
            <w:r>
              <w:rPr>
                <w:rFonts w:ascii="Arial" w:hAnsi="Arial"/>
                <w:b/>
                <w:color w:val="FFFFFF"/>
                <w:sz w:val="20"/>
              </w:rPr>
              <w:t>Activities</w:t>
            </w:r>
          </w:p>
        </w:tc>
        <w:tc>
          <w:tcPr>
            <w:tcW w:type="dxa" w:w="5040"/>
            <w:shd w:val="clear" w:color="auto" w:fill="1F6FEB"/>
          </w:tcPr>
          <w:p>
            <w:r/>
            <w:r>
              <w:rPr>
                <w:rFonts w:ascii="Arial" w:hAnsi="Arial"/>
                <w:b/>
                <w:color w:val="FFFFFF"/>
                <w:sz w:val="20"/>
              </w:rPr>
              <w:t>Data pack issued to learners</w:t>
            </w:r>
          </w:p>
        </w:tc>
      </w:tr>
      <w:tr>
        <w:tc>
          <w:tcPr>
            <w:tcW w:type="dxa" w:w="2232"/>
            <w:shd w:val="clear" w:color="auto" w:fill="E8F0FE"/>
          </w:tcPr>
          <w:p>
            <w:r/>
            <w:r>
              <w:rPr>
                <w:rFonts w:ascii="Arial" w:hAnsi="Arial"/>
                <w:b/>
                <w:sz w:val="19"/>
              </w:rPr>
              <w:t>FOUNDATIONS: Lean Six Sigma Foundations</w:t>
            </w:r>
          </w:p>
        </w:tc>
        <w:tc>
          <w:tcPr>
            <w:tcW w:type="dxa" w:w="1008"/>
            <w:shd w:val="clear" w:color="auto" w:fill="E8F0FE"/>
          </w:tcPr>
          <w:p>
            <w:r/>
            <w:r>
              <w:rPr>
                <w:rFonts w:ascii="Arial" w:hAnsi="Arial"/>
                <w:b w:val="0"/>
                <w:sz w:val="19"/>
              </w:rPr>
              <w:t>20%</w:t>
            </w:r>
          </w:p>
        </w:tc>
        <w:tc>
          <w:tcPr>
            <w:tcW w:type="dxa" w:w="1512"/>
          </w:tcPr>
          <w:p>
            <w:r/>
            <w:r>
              <w:rPr>
                <w:rFonts w:ascii="Arial" w:hAnsi="Arial"/>
                <w:b w:val="0"/>
                <w:sz w:val="19"/>
              </w:rPr>
            </w:r>
          </w:p>
        </w:tc>
        <w:tc>
          <w:tcPr>
            <w:tcW w:type="dxa" w:w="5040"/>
          </w:tcPr>
          <w:p>
            <w:r/>
            <w:r>
              <w:rPr>
                <w:rFonts w:ascii="Arial" w:hAnsi="Arial"/>
                <w:b w:val="0"/>
                <w:sz w:val="18"/>
              </w:rPr>
              <w:t>-</w:t>
            </w:r>
          </w:p>
        </w:tc>
      </w:tr>
      <w:tr>
        <w:tc>
          <w:tcPr>
            <w:tcW w:type="dxa" w:w="2232"/>
            <w:shd w:val="clear" w:color="auto" w:fill="E8F0FE"/>
          </w:tcPr>
          <w:p>
            <w:r/>
            <w:r>
              <w:rPr>
                <w:rFonts w:ascii="Arial" w:hAnsi="Arial"/>
                <w:b/>
                <w:sz w:val="19"/>
              </w:rPr>
              <w:t>DEFINE: Define — Understand the Problem</w:t>
            </w:r>
          </w:p>
        </w:tc>
        <w:tc>
          <w:tcPr>
            <w:tcW w:type="dxa" w:w="1008"/>
            <w:shd w:val="clear" w:color="auto" w:fill="E8F0FE"/>
          </w:tcPr>
          <w:p>
            <w:r/>
            <w:r>
              <w:rPr>
                <w:rFonts w:ascii="Arial" w:hAnsi="Arial"/>
                <w:b w:val="0"/>
                <w:sz w:val="19"/>
              </w:rPr>
              <w:t>20%</w:t>
            </w:r>
          </w:p>
        </w:tc>
        <w:tc>
          <w:tcPr>
            <w:tcW w:type="dxa" w:w="1512"/>
          </w:tcPr>
          <w:p>
            <w:r/>
            <w:r>
              <w:rPr>
                <w:rFonts w:ascii="Arial" w:hAnsi="Arial"/>
                <w:b w:val="0"/>
                <w:sz w:val="19"/>
              </w:rPr>
              <w:t>Activity 1</w:t>
            </w:r>
          </w:p>
        </w:tc>
        <w:tc>
          <w:tcPr>
            <w:tcW w:type="dxa" w:w="5040"/>
          </w:tcPr>
          <w:p>
            <w:r/>
            <w:r>
              <w:rPr>
                <w:rFonts w:ascii="Arial" w:hAnsi="Arial"/>
                <w:b w:val="0"/>
                <w:sz w:val="18"/>
              </w:rPr>
              <w:t>Raw Voice of the Customer feedback (+2 blank templates)</w:t>
            </w:r>
          </w:p>
        </w:tc>
      </w:tr>
      <w:tr>
        <w:tc>
          <w:tcPr>
            <w:tcW w:type="dxa" w:w="2232"/>
            <w:shd w:val="clear" w:color="auto" w:fill="E8F0FE"/>
          </w:tcPr>
          <w:p>
            <w:r/>
            <w:r>
              <w:rPr>
                <w:rFonts w:ascii="Arial" w:hAnsi="Arial"/>
                <w:b/>
                <w:sz w:val="19"/>
              </w:rPr>
              <w:t>MEASURE: Measure — See What Is Really Happening</w:t>
            </w:r>
          </w:p>
        </w:tc>
        <w:tc>
          <w:tcPr>
            <w:tcW w:type="dxa" w:w="1008"/>
            <w:shd w:val="clear" w:color="auto" w:fill="E8F0FE"/>
          </w:tcPr>
          <w:p>
            <w:r/>
            <w:r>
              <w:rPr>
                <w:rFonts w:ascii="Arial" w:hAnsi="Arial"/>
                <w:b w:val="0"/>
                <w:sz w:val="19"/>
              </w:rPr>
              <w:t>20%</w:t>
            </w:r>
          </w:p>
        </w:tc>
        <w:tc>
          <w:tcPr>
            <w:tcW w:type="dxa" w:w="1512"/>
          </w:tcPr>
          <w:p>
            <w:r/>
            <w:r>
              <w:rPr>
                <w:rFonts w:ascii="Arial" w:hAnsi="Arial"/>
                <w:b w:val="0"/>
                <w:sz w:val="19"/>
              </w:rPr>
              <w:t>Activity 2</w:t>
            </w:r>
          </w:p>
        </w:tc>
        <w:tc>
          <w:tcPr>
            <w:tcW w:type="dxa" w:w="5040"/>
          </w:tcPr>
          <w:p>
            <w:r/>
            <w:r>
              <w:rPr>
                <w:rFonts w:ascii="Arial" w:hAnsi="Arial"/>
                <w:b w:val="0"/>
                <w:sz w:val="18"/>
              </w:rPr>
              <w:t>Morning rush observation log; Process step timings; DOWNTIME waste tally (partially completed) (+3 blank templates)</w:t>
            </w:r>
          </w:p>
        </w:tc>
      </w:tr>
      <w:tr>
        <w:tc>
          <w:tcPr>
            <w:tcW w:type="dxa" w:w="2232"/>
            <w:shd w:val="clear" w:color="auto" w:fill="E8F0FE"/>
          </w:tcPr>
          <w:p>
            <w:r/>
            <w:r>
              <w:rPr>
                <w:rFonts w:ascii="Arial" w:hAnsi="Arial"/>
                <w:b/>
                <w:sz w:val="19"/>
              </w:rPr>
              <w:t>ANALYZE: Analyze — Find the Cause</w:t>
            </w:r>
          </w:p>
        </w:tc>
        <w:tc>
          <w:tcPr>
            <w:tcW w:type="dxa" w:w="1008"/>
            <w:shd w:val="clear" w:color="auto" w:fill="E8F0FE"/>
          </w:tcPr>
          <w:p>
            <w:r/>
            <w:r>
              <w:rPr>
                <w:rFonts w:ascii="Arial" w:hAnsi="Arial"/>
                <w:b w:val="0"/>
                <w:sz w:val="19"/>
              </w:rPr>
              <w:t>20%</w:t>
            </w:r>
          </w:p>
        </w:tc>
        <w:tc>
          <w:tcPr>
            <w:tcW w:type="dxa" w:w="1512"/>
          </w:tcPr>
          <w:p>
            <w:r/>
            <w:r>
              <w:rPr>
                <w:rFonts w:ascii="Arial" w:hAnsi="Arial"/>
                <w:b w:val="0"/>
                <w:sz w:val="19"/>
              </w:rPr>
              <w:t>Activity 3</w:t>
            </w:r>
          </w:p>
        </w:tc>
        <w:tc>
          <w:tcPr>
            <w:tcW w:type="dxa" w:w="5040"/>
          </w:tcPr>
          <w:p>
            <w:r/>
            <w:r>
              <w:rPr>
                <w:rFonts w:ascii="Arial" w:hAnsi="Arial"/>
                <w:b w:val="0"/>
                <w:sz w:val="18"/>
              </w:rPr>
              <w:t>Delay reason Pareto data; Candidate causes and their evidence (+3 blank templates)</w:t>
            </w:r>
          </w:p>
        </w:tc>
      </w:tr>
      <w:tr>
        <w:tc>
          <w:tcPr>
            <w:tcW w:type="dxa" w:w="2232"/>
            <w:shd w:val="clear" w:color="auto" w:fill="E8F0FE"/>
          </w:tcPr>
          <w:p>
            <w:r/>
            <w:r>
              <w:rPr>
                <w:rFonts w:ascii="Arial" w:hAnsi="Arial"/>
                <w:b/>
                <w:sz w:val="19"/>
              </w:rPr>
              <w:t>IMPROVE: Improve — Fix the Cause</w:t>
            </w:r>
          </w:p>
        </w:tc>
        <w:tc>
          <w:tcPr>
            <w:tcW w:type="dxa" w:w="1008"/>
            <w:shd w:val="clear" w:color="auto" w:fill="E8F0FE"/>
          </w:tcPr>
          <w:p>
            <w:r/>
            <w:r>
              <w:rPr>
                <w:rFonts w:ascii="Arial" w:hAnsi="Arial"/>
                <w:b w:val="0"/>
                <w:sz w:val="19"/>
              </w:rPr>
              <w:t>10%</w:t>
            </w:r>
          </w:p>
        </w:tc>
        <w:tc>
          <w:tcPr>
            <w:tcW w:type="dxa" w:w="1512"/>
          </w:tcPr>
          <w:p>
            <w:r/>
            <w:r>
              <w:rPr>
                <w:rFonts w:ascii="Arial" w:hAnsi="Arial"/>
                <w:b w:val="0"/>
                <w:sz w:val="19"/>
              </w:rPr>
              <w:t>Activity 4</w:t>
            </w:r>
          </w:p>
        </w:tc>
        <w:tc>
          <w:tcPr>
            <w:tcW w:type="dxa" w:w="5040"/>
          </w:tcPr>
          <w:p>
            <w:r/>
            <w:r>
              <w:rPr>
                <w:rFonts w:ascii="Arial" w:hAnsi="Arial"/>
                <w:b w:val="0"/>
                <w:sz w:val="18"/>
              </w:rPr>
              <w:t>Countermeasure options with impact, effort and cost; Pilot week results (+3 blank templates)</w:t>
            </w:r>
          </w:p>
        </w:tc>
      </w:tr>
      <w:tr>
        <w:tc>
          <w:tcPr>
            <w:tcW w:type="dxa" w:w="2232"/>
            <w:shd w:val="clear" w:color="auto" w:fill="E8F0FE"/>
          </w:tcPr>
          <w:p>
            <w:r/>
            <w:r>
              <w:rPr>
                <w:rFonts w:ascii="Arial" w:hAnsi="Arial"/>
                <w:b/>
                <w:sz w:val="19"/>
              </w:rPr>
              <w:t>CONTROL: Control — Hold the Gain</w:t>
            </w:r>
          </w:p>
        </w:tc>
        <w:tc>
          <w:tcPr>
            <w:tcW w:type="dxa" w:w="1008"/>
            <w:shd w:val="clear" w:color="auto" w:fill="E8F0FE"/>
          </w:tcPr>
          <w:p>
            <w:r/>
            <w:r>
              <w:rPr>
                <w:rFonts w:ascii="Arial" w:hAnsi="Arial"/>
                <w:b w:val="0"/>
                <w:sz w:val="19"/>
              </w:rPr>
              <w:t>10%</w:t>
            </w:r>
          </w:p>
        </w:tc>
        <w:tc>
          <w:tcPr>
            <w:tcW w:type="dxa" w:w="1512"/>
          </w:tcPr>
          <w:p>
            <w:r/>
            <w:r>
              <w:rPr>
                <w:rFonts w:ascii="Arial" w:hAnsi="Arial"/>
                <w:b w:val="0"/>
                <w:sz w:val="19"/>
              </w:rPr>
              <w:t>Activity 5</w:t>
            </w:r>
          </w:p>
        </w:tc>
        <w:tc>
          <w:tcPr>
            <w:tcW w:type="dxa" w:w="5040"/>
          </w:tcPr>
          <w:p>
            <w:r/>
            <w:r>
              <w:rPr>
                <w:rFonts w:ascii="Arial" w:hAnsi="Arial"/>
                <w:b w:val="0"/>
                <w:sz w:val="18"/>
              </w:rPr>
              <w:t>Post-improvement monitoring — four weeks; Control plan — worked example (one row completed) (+3 blank templates)</w:t>
            </w:r>
          </w:p>
        </w:tc>
      </w:tr>
    </w:tbl>
    <w:p>
      <w:r>
        <w:rPr>
          <w:i/>
          <w:color w:val="555B66"/>
          <w:sz w:val="19"/>
        </w:rPr>
        <w:t>Every activity is a self-contained folder holding the Facilitator Guide, Learner Worksheet and Checklist (DOCX + PDF), its mock data (CSV and Excel), blank templates and a worked model answer. The datasets are internally consistent across the five activities, so the BrewBean Cafe story reconciles from Define to Control.</w:t>
      </w:r>
    </w:p>
    <w:sectPr w:rsidR="00FC693F" w:rsidRPr="0006063C" w:rsidSect="00034616">
      <w:footerReference w:type="default" r:id="rId10"/>
      <w:headerReference w:type="default" r:id="rId11"/>
      <w:footerReference w:type="even" r:id="rId12"/>
      <w:footerReference w:type="first" r:id="rId13"/>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header" Target="header1.xml"/><Relationship Id="rId12" Type="http://schemas.openxmlformats.org/officeDocument/2006/relationships/footer" Target="footer2.xml"/><Relationship Id="rId13"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