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1920240" cy="192024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0240" cy="19202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40" w:after="20"/>
        <w:jc w:val="center"/>
        <w:rPr/>
      </w:pPr>
      <w:r>
        <w:rPr>
          <w:b/>
          <w:color w:val="111827"/>
          <w:sz w:val="26"/>
        </w:rPr>
        <w:t>Tertiary Infotech Academy Pte Ltd</w:t>
      </w:r>
    </w:p>
    <w:p>
      <w:pPr>
        <w:pStyle w:val="Normal"/>
        <w:spacing w:before="0" w:after="200"/>
        <w:jc w:val="center"/>
        <w:rPr/>
      </w:pPr>
      <w:r>
        <w:rPr>
          <w:b w:val="false"/>
          <w:color w:val="555B66"/>
          <w:sz w:val="20"/>
        </w:rPr>
        <w:t>UEN: 201200696W</w:t>
      </w:r>
    </w:p>
    <w:p>
      <w:pPr>
        <w:pStyle w:val="Normal"/>
        <w:spacing w:before="0" w:after="80"/>
        <w:jc w:val="center"/>
        <w:rPr/>
      </w:pPr>
      <w:r>
        <w:rPr>
          <w:b/>
          <w:color w:val="1F6FEB"/>
          <w:sz w:val="52"/>
        </w:rPr>
        <w:t>LESSON PLAN</w:t>
      </w:r>
    </w:p>
    <w:p>
      <w:pPr>
        <w:pStyle w:val="Normal"/>
        <w:spacing w:before="80" w:after="160"/>
        <w:jc w:val="center"/>
        <w:rPr/>
      </w:pPr>
      <w:r>
        <w:rPr>
          <w:b w:val="false"/>
          <w:color w:val="555B66"/>
          <w:sz w:val="24"/>
        </w:rPr>
        <w:t>For</w:t>
      </w:r>
    </w:p>
    <w:p>
      <w:pPr>
        <w:pStyle w:val="Normal"/>
        <w:spacing w:before="80" w:after="40"/>
        <w:jc w:val="center"/>
        <w:rPr/>
      </w:pPr>
      <w:r>
        <w:rPr>
          <w:b/>
          <w:color w:val="111827"/>
          <w:sz w:val="40"/>
        </w:rPr>
        <w:t xml:space="preserve">Google Workspace Masterclass</w:t>
      </w:r>
    </w:p>
    <w:p>
      <w:pPr>
        <w:pStyle w:val="Normal"/>
        <w:spacing w:before="80" w:after="280"/>
        <w:jc w:val="center"/>
        <w:rPr/>
      </w:pPr>
      <w:r>
        <w:rPr>
          <w:b w:val="false"/>
          <w:color w:val="111827"/>
          <w:sz w:val="24"/>
        </w:rPr>
        <w:t xml:space="preserve">Course Code: C148</w:t>
      </w:r>
    </w:p>
    <w:p>
      <w:pPr>
        <w:pStyle w:val="Normal"/>
        <w:spacing w:before="0" w:after="40"/>
        <w:jc w:val="center"/>
        <w:rPr/>
      </w:pPr>
      <w:r>
        <w:rPr>
          <w:b w:val="false"/>
          <w:color w:val="555B66"/>
          <w:sz w:val="22"/>
        </w:rPr>
        <w:t>Conducted by</w:t>
      </w:r>
    </w:p>
    <w:p>
      <w:pPr>
        <w:pStyle w:val="Normal"/>
        <w:spacing w:before="0" w:after="40"/>
        <w:jc w:val="center"/>
        <w:rPr/>
      </w:pPr>
      <w:r>
        <w:rPr>
          <w:b/>
          <w:color w:val="111827"/>
          <w:sz w:val="26"/>
        </w:rPr>
        <w:t>Tertiary Infotech Academy Pte Ltd</w:t>
      </w:r>
    </w:p>
    <w:p>
      <w:pPr>
        <w:pStyle w:val="Normal"/>
        <w:spacing w:before="0" w:after="240"/>
        <w:jc w:val="center"/>
        <w:rPr/>
      </w:pPr>
      <w:r>
        <w:rPr>
          <w:b w:val="false"/>
          <w:color w:val="555B66"/>
          <w:sz w:val="22"/>
        </w:rPr>
        <w:t>UEN: 201200696W</w:t>
      </w:r>
    </w:p>
    <w:p>
      <w:pPr>
        <w:pStyle w:val="Normal"/>
        <w:spacing w:before="0" w:after="80"/>
        <w:jc w:val="center"/>
        <w:rPr/>
      </w:pPr>
      <w:r>
        <w:rPr>
          <w:b/>
          <w:color w:val="1F6FEB"/>
          <w:sz w:val="24"/>
        </w:rPr>
        <w:t xml:space="preserve">Version 1.0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before="0" w:after="120"/>
        <w:rPr/>
      </w:pPr>
      <w:r>
        <w:rPr>
          <w:b/>
          <w:color w:val="111827"/>
          <w:sz w:val="24"/>
        </w:rPr>
        <w:t>DOCUMENT VERSION CONTROL RECORD</w:t>
      </w:r>
    </w:p>
    <w:tbl>
      <w:tblPr>
        <w:tblStyle w:val="TableGrid"/>
        <w:tblW w:w="9748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lastColumn="0" w:firstColumn="1" w:lastRow="0" w:firstRow="1" w:noVBand="1" w:val="04a0"/>
      </w:tblPr>
      <w:tblGrid>
        <w:gridCol w:w="2437"/>
        <w:gridCol w:w="2437"/>
        <w:gridCol w:w="2437"/>
        <w:gridCol w:w="2437"/>
      </w:tblGrid>
      <w:tr>
        <w:trPr/>
        <w:tc>
          <w:tcPr>
            <w:tcW w:w="2437" w:type="dxa"/>
            <w:tcBorders/>
            <w:shd w:color="auto" w:fill="1F6FEB" w:val="clear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9"/>
                <w:szCs w:val="22"/>
                <w:lang w:val="en-US" w:eastAsia="en-US" w:bidi="ar-SA"/>
              </w:rPr>
              <w:t>Version Number</w:t>
            </w:r>
          </w:p>
        </w:tc>
        <w:tc>
          <w:tcPr>
            <w:tcW w:w="2437" w:type="dxa"/>
            <w:tcBorders/>
            <w:shd w:color="auto" w:fill="1F6FEB" w:val="clear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9"/>
                <w:szCs w:val="22"/>
                <w:lang w:val="en-US" w:eastAsia="en-US" w:bidi="ar-SA"/>
              </w:rPr>
              <w:t>Effective Date of Release</w:t>
            </w:r>
          </w:p>
        </w:tc>
        <w:tc>
          <w:tcPr>
            <w:tcW w:w="2437" w:type="dxa"/>
            <w:tcBorders/>
            <w:shd w:color="auto" w:fill="1F6FEB" w:val="clear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9"/>
                <w:szCs w:val="22"/>
                <w:lang w:val="en-US" w:eastAsia="en-US" w:bidi="ar-SA"/>
              </w:rPr>
              <w:t>Summary of Included Changes</w:t>
            </w:r>
          </w:p>
        </w:tc>
        <w:tc>
          <w:tcPr>
            <w:tcW w:w="2437" w:type="dxa"/>
            <w:tcBorders/>
            <w:shd w:color="auto" w:fill="1F6FEB" w:val="clear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9"/>
                <w:szCs w:val="22"/>
                <w:lang w:val="en-US" w:eastAsia="en-US" w:bidi="ar-SA"/>
              </w:rPr>
              <w:t>Author</w:t>
            </w:r>
          </w:p>
        </w:tc>
      </w:tr>
      <w:tr>
        <w:trPr/>
        <w:tc>
          <w:tcPr>
            <w:tcW w:w="243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9"/>
                <w:szCs w:val="22"/>
                <w:lang w:val="en-US" w:eastAsia="en-US" w:bidi="ar-SA"/>
              </w:rPr>
              <w:t xml:space="preserve">1.0</w:t>
            </w:r>
          </w:p>
        </w:tc>
        <w:tc>
          <w:tcPr>
            <w:tcW w:w="243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9"/>
                <w:szCs w:val="22"/>
                <w:lang w:val="en-US" w:eastAsia="en-US" w:bidi="ar-SA"/>
              </w:rPr>
              <w:t xml:space="preserve">30 September 2026</w:t>
            </w:r>
          </w:p>
        </w:tc>
        <w:tc>
          <w:tcPr>
            <w:tcW w:w="243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9"/>
                <w:szCs w:val="22"/>
                <w:lang w:val="en-US" w:eastAsia="en-US" w:bidi="ar-SA"/>
              </w:rPr>
              <w:t xml:space="preserve">Initial release of the Google Workspace Masterclass courseware: three topics, 25 self-contained Activities, current Google mechanics and native charts.</w:t>
            </w:r>
          </w:p>
        </w:tc>
        <w:tc>
          <w:tcPr>
            <w:tcW w:w="243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9"/>
                <w:szCs w:val="22"/>
                <w:lang w:val="en-US" w:eastAsia="en-US" w:bidi="ar-SA"/>
              </w:rPr>
              <w:t xml:space="preserve">Tertiary Infotech Academy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before="0" w:after="120"/>
        <w:rPr/>
      </w:pPr>
      <w:r>
        <w:rPr>
          <w:b/>
          <w:color w:val="111827"/>
          <w:sz w:val="24"/>
        </w:rPr>
        <w:t>TABLE OF CONTENTS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1"/>
            <w:tabs>
              <w:tab w:val="clear" w:pos="9746"/>
              <w:tab w:val="right" w:pos="9745" w:leader="dot"/>
            </w:tabs>
            <w:rPr/>
          </w:pPr>
          <w:r>
            <w:fldChar w:fldCharType="begin"/>
          </w:r>
          <w:r>
            <w:rPr>
              <w:rStyle w:val="IndexLink"/>
            </w:rPr>
            <w:instrText xml:space="preserve"> TOC \f \o "1-2" \h</w:instrText>
          </w:r>
          <w:r>
            <w:rPr>
              <w:rStyle w:val="IndexLink"/>
            </w:rPr>
            <w:fldChar w:fldCharType="separate"/>
          </w:r>
          <w:hyperlink w:anchor="__RefHeading___Toc10018_4150310382" w:tooltip="Course overview">
            <w:r>
              <w:rPr>
                <w:rStyle w:val="IndexLink"/>
              </w:rPr>
              <w:t>Course overview</w:t>
              <w:tab/>
              <w:t>4</w:t>
            </w:r>
          </w:hyperlink>
        </w:p>
        <w:p>
          <w:pPr>
            <w:pStyle w:val="TOC1"/>
            <w:tabs>
              <w:tab w:val="clear" w:pos="9746"/>
              <w:tab w:val="right" w:pos="9745" w:leader="dot"/>
            </w:tabs>
            <w:rPr/>
          </w:pPr>
          <w:hyperlink w:anchor="__RefHeading___Toc10020_4150310382" w:tooltip="Learning outcomes">
            <w:r>
              <w:rPr>
                <w:rStyle w:val="IndexLink"/>
              </w:rPr>
              <w:t>Learning outcomes</w:t>
              <w:tab/>
              <w:t>4</w:t>
            </w:r>
          </w:hyperlink>
        </w:p>
        <w:p>
          <w:pPr>
            <w:pStyle w:val="TOC1"/>
            <w:tabs>
              <w:tab w:val="clear" w:pos="9746"/>
              <w:tab w:val="right" w:pos="9745" w:leader="dot"/>
            </w:tabs>
            <w:rPr/>
          </w:pPr>
          <w:hyperlink w:anchor="__RefHeading___Toc10022_4150310382" w:tooltip="Daily schedule">
            <w:r>
              <w:rPr>
                <w:rStyle w:val="IndexLink"/>
              </w:rPr>
              <w:t>Daily schedule</w:t>
              <w:tab/>
              <w:t>5</w:t>
            </w:r>
          </w:hyperlink>
        </w:p>
        <w:p>
          <w:pPr>
            <w:pStyle w:val="TOC1"/>
            <w:tabs>
              <w:tab w:val="clear" w:pos="9746"/>
              <w:tab w:val="right" w:pos="9745" w:leader="dot"/>
            </w:tabs>
            <w:rPr/>
          </w:pPr>
          <w:hyperlink w:anchor="__RefHeading___Toc10024_4150310382" w:tooltip="Governance and Drive content lifecycle">
            <w:r>
              <w:rPr>
                <w:rStyle w:val="IndexLink"/>
              </w:rPr>
              <w:t>Governance and Drive content lifecycle</w:t>
              <w:tab/>
              <w:t>5</w:t>
            </w:r>
          </w:hyperlink>
        </w:p>
        <w:p>
          <w:pPr>
            <w:pStyle w:val="TOC2"/>
            <w:tabs>
              <w:tab w:val="clear" w:pos="9463"/>
              <w:tab w:val="right" w:pos="9745" w:leader="dot"/>
            </w:tabs>
            <w:rPr/>
          </w:pPr>
          <w:hyperlink w:anchor="__RefHeading___Toc10026_4150310382" w:tooltip="Activity 1 Content policy and identity boundaries Slide 19">
            <w:r>
              <w:rPr>
                <w:rStyle w:val="IndexLink"/>
              </w:rPr>
              <w:t>Activity 1 Content policy and identity boundaries Slide 19</w:t>
              <w:tab/>
              <w:t>5</w:t>
            </w:r>
          </w:hyperlink>
        </w:p>
        <w:p>
          <w:pPr>
            <w:pStyle w:val="TOC2"/>
            <w:tabs>
              <w:tab w:val="clear" w:pos="9463"/>
              <w:tab w:val="right" w:pos="9745" w:leader="dot"/>
            </w:tabs>
            <w:rPr/>
          </w:pPr>
          <w:hyperlink w:anchor="__RefHeading___Toc10028_4150310382" w:tooltip="Activity 2 Drive ownership and team structure Slide 28">
            <w:r>
              <w:rPr>
                <w:rStyle w:val="IndexLink"/>
              </w:rPr>
              <w:t>Activity 2 Drive ownership and team structure Slide 28</w:t>
              <w:tab/>
              <w:t>6</w:t>
            </w:r>
          </w:hyperlink>
        </w:p>
        <w:p>
          <w:pPr>
            <w:pStyle w:val="TOC2"/>
            <w:tabs>
              <w:tab w:val="clear" w:pos="9463"/>
              <w:tab w:val="right" w:pos="9745" w:leader="dot"/>
            </w:tabs>
            <w:rPr/>
          </w:pPr>
          <w:hyperlink w:anchor="__RefHeading___Toc10030_4150310382" w:tooltip="Activity 3 Sharing and effective access audit Slide 37">
            <w:r>
              <w:rPr>
                <w:rStyle w:val="IndexLink"/>
              </w:rPr>
              <w:t>Activity 3 Sharing and effective access audit Slide 37</w:t>
              <w:tab/>
              <w:t>6</w:t>
            </w:r>
          </w:hyperlink>
        </w:p>
        <w:p>
          <w:pPr>
            <w:pStyle w:val="TOC2"/>
            <w:tabs>
              <w:tab w:val="clear" w:pos="9463"/>
              <w:tab w:val="right" w:pos="9745" w:leader="dot"/>
            </w:tabs>
            <w:rPr/>
          </w:pPr>
          <w:hyperlink w:anchor="__RefHeading___Toc10032_4150310382" w:tooltip="Activity 4 Posting lifecycle and asset metadata Slide 46">
            <w:r>
              <w:rPr>
                <w:rStyle w:val="IndexLink"/>
              </w:rPr>
              <w:t>Activity 4 Posting lifecycle and asset metadata Slide 46</w:t>
              <w:tab/>
              <w:t>6</w:t>
            </w:r>
          </w:hyperlink>
        </w:p>
        <w:p>
          <w:pPr>
            <w:pStyle w:val="TOC2"/>
            <w:tabs>
              <w:tab w:val="clear" w:pos="9463"/>
              <w:tab w:val="right" w:pos="9745" w:leader="dot"/>
            </w:tabs>
            <w:rPr/>
          </w:pPr>
          <w:hyperlink w:anchor="__RefHeading___Toc10034_4150310382" w:tooltip="Activity 5 Search recovery and version diagnosis Slide 55">
            <w:r>
              <w:rPr>
                <w:rStyle w:val="IndexLink"/>
              </w:rPr>
              <w:t>Activity 5 Search recovery and version diagnosis Slide 55</w:t>
              <w:tab/>
              <w:t>6</w:t>
            </w:r>
          </w:hyperlink>
        </w:p>
        <w:p>
          <w:pPr>
            <w:pStyle w:val="TOC1"/>
            <w:tabs>
              <w:tab w:val="clear" w:pos="9746"/>
              <w:tab w:val="right" w:pos="9745" w:leader="dot"/>
            </w:tabs>
            <w:rPr/>
          </w:pPr>
          <w:hyperlink w:anchor="__RefHeading___Toc10036_4150310382" w:tooltip="Content assets and customer web properties">
            <w:r>
              <w:rPr>
                <w:rStyle w:val="IndexLink"/>
              </w:rPr>
              <w:t>Content assets and customer web properties</w:t>
              <w:tab/>
              <w:t>7</w:t>
            </w:r>
          </w:hyperlink>
        </w:p>
        <w:p>
          <w:pPr>
            <w:pStyle w:val="TOC2"/>
            <w:tabs>
              <w:tab w:val="clear" w:pos="9463"/>
              <w:tab w:val="right" w:pos="9745" w:leader="dot"/>
            </w:tabs>
            <w:rPr/>
          </w:pPr>
          <w:hyperlink w:anchor="__RefHeading___Toc10038_4150310382" w:tooltip="Activity 6 Docs structure and collaborative review Slide 65">
            <w:r>
              <w:rPr>
                <w:rStyle w:val="IndexLink"/>
              </w:rPr>
              <w:t>Activity 6 Docs structure and collaborative review Slide 65</w:t>
              <w:tab/>
              <w:t>7</w:t>
            </w:r>
          </w:hyperlink>
        </w:p>
        <w:p>
          <w:pPr>
            <w:pStyle w:val="TOC2"/>
            <w:tabs>
              <w:tab w:val="clear" w:pos="9463"/>
              <w:tab w:val="right" w:pos="9745" w:leader="dot"/>
            </w:tabs>
            <w:rPr/>
          </w:pPr>
          <w:hyperlink w:anchor="__RefHeading___Toc10040_4150310382" w:tooltip="Activity 7 Docs templates and publication readiness Slide 74">
            <w:r>
              <w:rPr>
                <w:rStyle w:val="IndexLink"/>
              </w:rPr>
              <w:t>Activity 7 Docs templates and publication readiness Slide 74</w:t>
              <w:tab/>
              <w:t>7</w:t>
            </w:r>
          </w:hyperlink>
        </w:p>
        <w:p>
          <w:pPr>
            <w:pStyle w:val="TOC2"/>
            <w:tabs>
              <w:tab w:val="clear" w:pos="9463"/>
              <w:tab w:val="right" w:pos="9745" w:leader="dot"/>
            </w:tabs>
            <w:rPr/>
          </w:pPr>
          <w:hyperlink w:anchor="__RefHeading___Toc10042_4150310382" w:tooltip="Activity 8 Sheets import schema and data validation Slide 83">
            <w:r>
              <w:rPr>
                <w:rStyle w:val="IndexLink"/>
              </w:rPr>
              <w:t>Activity 8 Sheets import schema and data validation Slide 83</w:t>
              <w:tab/>
              <w:t>7</w:t>
            </w:r>
          </w:hyperlink>
        </w:p>
        <w:p>
          <w:pPr>
            <w:pStyle w:val="TOC2"/>
            <w:tabs>
              <w:tab w:val="clear" w:pos="9463"/>
              <w:tab w:val="right" w:pos="9745" w:leader="dot"/>
            </w:tabs>
            <w:rPr/>
          </w:pPr>
          <w:hyperlink w:anchor="__RefHeading___Toc10044_4150310382" w:tooltip="Activity 9 Sheets formulas and operational checks Slide 92">
            <w:r>
              <w:rPr>
                <w:rStyle w:val="IndexLink"/>
              </w:rPr>
              <w:t>Activity 9 Sheets formulas and operational checks Slide 92</w:t>
              <w:tab/>
              <w:t>7</w:t>
            </w:r>
          </w:hyperlink>
        </w:p>
        <w:p>
          <w:pPr>
            <w:pStyle w:val="TOC2"/>
            <w:tabs>
              <w:tab w:val="clear" w:pos="9463"/>
              <w:tab w:val="right" w:pos="9745" w:leader="dot"/>
            </w:tabs>
            <w:rPr/>
          </w:pPr>
          <w:hyperlink w:anchor="__RefHeading___Toc10046_4150310382" w:tooltip="Activity 10 Filter views pivots and editable charts Slide 101">
            <w:r>
              <w:rPr>
                <w:rStyle w:val="IndexLink"/>
              </w:rPr>
              <w:t>Activity 10 Filter views pivots and editable charts Slide 101</w:t>
              <w:tab/>
              <w:t>8</w:t>
            </w:r>
          </w:hyperlink>
        </w:p>
        <w:p>
          <w:pPr>
            <w:pStyle w:val="TOC2"/>
            <w:tabs>
              <w:tab w:val="clear" w:pos="9463"/>
              <w:tab w:val="right" w:pos="9745" w:leader="dot"/>
            </w:tabs>
            <w:rPr/>
          </w:pPr>
          <w:hyperlink w:anchor="__RefHeading___Toc10048_4150310382" w:tooltip="Activity 11 Slides assets and customer presentation Slide 110">
            <w:r>
              <w:rPr>
                <w:rStyle w:val="IndexLink"/>
              </w:rPr>
              <w:t>Activity 11 Slides assets and customer presentation Slide 110</w:t>
              <w:tab/>
              <w:t>8</w:t>
            </w:r>
          </w:hyperlink>
        </w:p>
        <w:p>
          <w:pPr>
            <w:pStyle w:val="TOC2"/>
            <w:tabs>
              <w:tab w:val="clear" w:pos="9463"/>
              <w:tab w:val="right" w:pos="9745" w:leader="dot"/>
            </w:tabs>
            <w:rPr/>
          </w:pPr>
          <w:hyperlink w:anchor="__RefHeading___Toc10050_4150310382" w:tooltip="Activity 12 Forms publication consent and response schema Slide 119">
            <w:r>
              <w:rPr>
                <w:rStyle w:val="IndexLink"/>
              </w:rPr>
              <w:t>Activity 12 Forms publication consent and response schema Slide 119</w:t>
              <w:tab/>
              <w:t>8</w:t>
            </w:r>
          </w:hyperlink>
        </w:p>
        <w:p>
          <w:pPr>
            <w:pStyle w:val="TOC2"/>
            <w:tabs>
              <w:tab w:val="clear" w:pos="9463"/>
              <w:tab w:val="right" w:pos="9745" w:leader="dot"/>
            </w:tabs>
            <w:rPr/>
          </w:pPr>
          <w:hyperlink w:anchor="__RefHeading___Toc10052_4150310382" w:tooltip="Activity 13 Forms validation and customer feedback analysis Slide 128">
            <w:r>
              <w:rPr>
                <w:rStyle w:val="IndexLink"/>
              </w:rPr>
              <w:t>Activity 13 Forms validation and customer feedback analysis Slide 128</w:t>
              <w:tab/>
              <w:t>8</w:t>
            </w:r>
          </w:hyperlink>
        </w:p>
        <w:p>
          <w:pPr>
            <w:pStyle w:val="TOC2"/>
            <w:tabs>
              <w:tab w:val="clear" w:pos="9463"/>
              <w:tab w:val="right" w:pos="9745" w:leader="dot"/>
            </w:tabs>
            <w:rPr/>
          </w:pPr>
          <w:hyperlink w:anchor="__RefHeading___Toc10054_4150310382" w:tooltip="Activity 14 Gmail routing labels and search controls Slide 137">
            <w:r>
              <w:rPr>
                <w:rStyle w:val="IndexLink"/>
              </w:rPr>
              <w:t>Activity 14 Gmail routing labels and search controls Slide 137</w:t>
              <w:tab/>
              <w:t>9</w:t>
            </w:r>
          </w:hyperlink>
        </w:p>
        <w:p>
          <w:pPr>
            <w:pStyle w:val="TOC2"/>
            <w:tabs>
              <w:tab w:val="clear" w:pos="9463"/>
              <w:tab w:val="right" w:pos="9745" w:leader="dot"/>
            </w:tabs>
            <w:rPr/>
          </w:pPr>
          <w:hyperlink w:anchor="__RefHeading___Toc10056_4150310382" w:tooltip="Activity 15 Gmail delegation and customer response governance Slide 146">
            <w:r>
              <w:rPr>
                <w:rStyle w:val="IndexLink"/>
              </w:rPr>
              <w:t>Activity 15 Gmail delegation and customer response governance Slide 146</w:t>
              <w:tab/>
              <w:t>9</w:t>
            </w:r>
          </w:hyperlink>
        </w:p>
        <w:p>
          <w:pPr>
            <w:pStyle w:val="TOC2"/>
            <w:tabs>
              <w:tab w:val="clear" w:pos="9463"/>
              <w:tab w:val="right" w:pos="9745" w:leader="dot"/>
            </w:tabs>
            <w:rPr/>
          </w:pPr>
          <w:hyperlink w:anchor="__RefHeading___Toc10058_4150310382" w:tooltip="Activity 16 Calendar availability and booking boundaries Slide 155">
            <w:r>
              <w:rPr>
                <w:rStyle w:val="IndexLink"/>
              </w:rPr>
              <w:t>Activity 16 Calendar availability and booking boundaries Slide 155</w:t>
              <w:tab/>
              <w:t>9</w:t>
            </w:r>
          </w:hyperlink>
        </w:p>
        <w:p>
          <w:pPr>
            <w:pStyle w:val="TOC2"/>
            <w:tabs>
              <w:tab w:val="clear" w:pos="9463"/>
              <w:tab w:val="right" w:pos="9745" w:leader="dot"/>
            </w:tabs>
            <w:rPr/>
          </w:pPr>
          <w:hyperlink w:anchor="__RefHeading___Toc10060_4150310382" w:tooltip="Activity 17 Meet collaboration and recording controls Slide 164">
            <w:r>
              <w:rPr>
                <w:rStyle w:val="IndexLink"/>
              </w:rPr>
              <w:t>Activity 17 Meet collaboration and recording controls Slide 164</w:t>
              <w:tab/>
              <w:t>9</w:t>
            </w:r>
          </w:hyperlink>
        </w:p>
        <w:p>
          <w:pPr>
            <w:pStyle w:val="TOC2"/>
            <w:tabs>
              <w:tab w:val="clear" w:pos="9463"/>
              <w:tab w:val="right" w:pos="9745" w:leader="dot"/>
            </w:tabs>
            <w:rPr/>
          </w:pPr>
          <w:hyperlink w:anchor="__RefHeading___Toc10062_4150310382" w:tooltip="Activity 18 Chat spaces tasks and whiteboarding replacement Slide 173">
            <w:r>
              <w:rPr>
                <w:rStyle w:val="IndexLink"/>
              </w:rPr>
              <w:t>Activity 18 Chat spaces tasks and whiteboarding replacement Slide 173</w:t>
              <w:tab/>
              <w:t>10</w:t>
            </w:r>
          </w:hyperlink>
        </w:p>
        <w:p>
          <w:pPr>
            <w:pStyle w:val="TOC2"/>
            <w:tabs>
              <w:tab w:val="clear" w:pos="9463"/>
              <w:tab w:val="right" w:pos="9745" w:leader="dot"/>
            </w:tabs>
            <w:rPr/>
          </w:pPr>
          <w:hyperlink w:anchor="__RefHeading___Toc10064_4150310382" w:tooltip="Activity 19 Sites architecture navigation and draft content Slide 182">
            <w:r>
              <w:rPr>
                <w:rStyle w:val="IndexLink"/>
              </w:rPr>
              <w:t>Activity 19 Sites architecture navigation and draft content Slide 182</w:t>
              <w:tab/>
              <w:t>10</w:t>
            </w:r>
          </w:hyperlink>
        </w:p>
        <w:p>
          <w:pPr>
            <w:pStyle w:val="TOC2"/>
            <w:tabs>
              <w:tab w:val="clear" w:pos="9463"/>
              <w:tab w:val="right" w:pos="9745" w:leader="dot"/>
            </w:tabs>
            <w:rPr/>
          </w:pPr>
          <w:hyperlink w:anchor="__RefHeading___Toc10066_4150310382" w:tooltip="Activity 20 Sites publishing embed access and maintenance Slide 191">
            <w:r>
              <w:rPr>
                <w:rStyle w:val="IndexLink"/>
              </w:rPr>
              <w:t>Activity 20 Sites publishing embed access and maintenance Slide 191</w:t>
              <w:tab/>
              <w:t>10</w:t>
            </w:r>
          </w:hyperlink>
        </w:p>
        <w:p>
          <w:pPr>
            <w:pStyle w:val="TOC2"/>
            <w:tabs>
              <w:tab w:val="clear" w:pos="9463"/>
              <w:tab w:val="right" w:pos="9745" w:leader="dot"/>
            </w:tabs>
            <w:rPr/>
          </w:pPr>
          <w:hyperlink w:anchor="__RefHeading___Toc10068_4150310382" w:tooltip="Activity 21 CMS market offerings and weighted selection Slide 200">
            <w:r>
              <w:rPr>
                <w:rStyle w:val="IndexLink"/>
              </w:rPr>
              <w:t>Activity 21 CMS market offerings and weighted selection Slide 200</w:t>
              <w:tab/>
              <w:t>10</w:t>
            </w:r>
          </w:hyperlink>
        </w:p>
        <w:p>
          <w:pPr>
            <w:pStyle w:val="TOC1"/>
            <w:tabs>
              <w:tab w:val="clear" w:pos="9746"/>
              <w:tab w:val="right" w:pos="9745" w:leader="dot"/>
            </w:tabs>
            <w:rPr/>
          </w:pPr>
          <w:hyperlink w:anchor="__RefHeading___Toc10070_4150310382" w:tooltip="Metrics add-ons and integration decisions">
            <w:r>
              <w:rPr>
                <w:rStyle w:val="IndexLink"/>
              </w:rPr>
              <w:t>Metrics add-ons and integration decisions</w:t>
              <w:tab/>
              <w:t>11</w:t>
            </w:r>
          </w:hyperlink>
        </w:p>
        <w:p>
          <w:pPr>
            <w:pStyle w:val="TOC2"/>
            <w:tabs>
              <w:tab w:val="clear" w:pos="9463"/>
              <w:tab w:val="right" w:pos="9745" w:leader="dot"/>
            </w:tabs>
            <w:rPr/>
          </w:pPr>
          <w:hyperlink w:anchor="__RefHeading___Toc10072_4150310382" w:tooltip="Activity 22 Workspace metrics and evidence provenance Slide 210">
            <w:r>
              <w:rPr>
                <w:rStyle w:val="IndexLink"/>
              </w:rPr>
              <w:t>Activity 22 Workspace metrics and evidence provenance Slide 210</w:t>
              <w:tab/>
              <w:t>11</w:t>
            </w:r>
          </w:hyperlink>
        </w:p>
        <w:p>
          <w:pPr>
            <w:pStyle w:val="TOC2"/>
            <w:tabs>
              <w:tab w:val="clear" w:pos="9463"/>
              <w:tab w:val="right" w:pos="9745" w:leader="dot"/>
            </w:tabs>
            <w:rPr/>
          </w:pPr>
          <w:hyperlink w:anchor="__RefHeading___Toc10074_4150310382" w:tooltip="Activity 23 Visitor journey funnel and improvement tests Slide 219">
            <w:r>
              <w:rPr>
                <w:rStyle w:val="IndexLink"/>
              </w:rPr>
              <w:t>Activity 23 Visitor journey funnel and improvement tests Slide 219</w:t>
              <w:tab/>
              <w:t>11</w:t>
            </w:r>
          </w:hyperlink>
        </w:p>
        <w:p>
          <w:pPr>
            <w:pStyle w:val="TOC2"/>
            <w:tabs>
              <w:tab w:val="clear" w:pos="9463"/>
              <w:tab w:val="right" w:pos="9745" w:leader="dot"/>
            </w:tabs>
            <w:rPr/>
          </w:pPr>
          <w:hyperlink w:anchor="__RefHeading___Toc10076_4150310382" w:tooltip="Activity 24 Add-on selection scopes and administrator controls Slide 228">
            <w:r>
              <w:rPr>
                <w:rStyle w:val="IndexLink"/>
              </w:rPr>
              <w:t>Activity 24 Add-on selection scopes and administrator controls Slide 228</w:t>
              <w:tab/>
              <w:t>11</w:t>
            </w:r>
          </w:hyperlink>
        </w:p>
        <w:p>
          <w:pPr>
            <w:pStyle w:val="TOC2"/>
            <w:tabs>
              <w:tab w:val="clear" w:pos="9463"/>
              <w:tab w:val="right" w:pos="9745" w:leader="dot"/>
            </w:tabs>
            <w:rPr/>
          </w:pPr>
          <w:hyperlink w:anchor="__RefHeading___Toc10078_4150310382" w:tooltip="Activity 25 Apps Script and API integration contract Slide 237">
            <w:r>
              <w:rPr>
                <w:rStyle w:val="IndexLink"/>
              </w:rPr>
              <w:t>Activity 25 Apps Script and API integration contract Slide 237</w:t>
              <w:tab/>
              <w:t>12</w:t>
            </w:r>
          </w:hyperlink>
        </w:p>
        <w:p>
          <w:pPr>
            <w:pStyle w:val="TOC1"/>
            <w:tabs>
              <w:tab w:val="clear" w:pos="9746"/>
              <w:tab w:val="right" w:pos="9745" w:leader="dot"/>
            </w:tabs>
            <w:rPr/>
          </w:pPr>
          <w:hyperlink w:anchor="__RefHeading___Toc10080_4150310382" w:tooltip="Resources required">
            <w:r>
              <w:rPr>
                <w:rStyle w:val="IndexLink"/>
              </w:rPr>
              <w:t>Resources required</w:t>
              <w:tab/>
              <w:t>12</w:t>
            </w:r>
          </w:hyperlink>
        </w:p>
        <w:p>
          <w:pPr>
            <w:pStyle w:val="TOC1"/>
            <w:tabs>
              <w:tab w:val="clear" w:pos="9746"/>
              <w:tab w:val="right" w:pos="9745" w:leader="dot"/>
            </w:tabs>
            <w:rPr/>
          </w:pPr>
          <w:hyperlink w:anchor="__RefHeading___Toc10082_4150310382" w:tooltip="Support">
            <w:r>
              <w:rPr>
                <w:rStyle w:val="IndexLink"/>
              </w:rPr>
              <w:t>Support</w:t>
              <w:tab/>
              <w:t>12</w:t>
            </w:r>
          </w:hyperlink>
          <w:r>
            <w:rPr>
              <w:rStyle w:val="IndexLink"/>
            </w:rPr>
            <w:fldChar w:fldCharType="end"/>
          </w:r>
        </w:p>
      </w:sdtContent>
    </w:sdt>
    <w:p>
      <w:pPr>
        <w:pStyle w:val="Heading1"/>
        <w:spacing w:before="0" w:after="0"/>
        <w:rPr/>
      </w:pPr>
      <w:r>
        <w:br w:type="page"/>
      </w:r>
      <w:bookmarkStart w:id="0" w:name="__RefHeading___Toc10018_4150310382"/>
      <w:bookmarkEnd w:id="0"/>
      <w:r>
        <w:rPr/>
        <w:t>Course overview</w:t>
      </w:r>
    </w:p>
    <w:p>
      <w:pPr>
        <w:pStyle w:val="Normal"/>
        <w:rPr/>
      </w:pPr>
      <w:r>
        <w:rPr/>
        <w:t xml:space="preserve">C148 · 2 days · 15 instructional hours (9:30am – 5:30pm, 7.5 hours per day): 900 teaching minutes across three topics and 25 hands-on Activities.</w:t>
      </w:r>
    </w:p>
    <w:p>
      <w:pPr>
        <w:pStyle w:val="Heading1"/>
        <w:rPr/>
      </w:pPr>
      <w:bookmarkStart w:id="1" w:name="__RefHeading___Toc10020_4150310382"/>
      <w:bookmarkEnd w:id="1"/>
      <w:r>
        <w:rPr/>
        <w:t>Learning outcomes</w:t>
      </w:r>
    </w:p>
    <w:tbl>
      <w:tblPr>
        <w:tblStyle w:val="TableGrid"/>
        <w:tblW w:w="9748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lastColumn="0" w:firstColumn="1" w:lastRow="0" w:firstRow="1" w:noVBand="1" w:val="04a0"/>
      </w:tblPr>
      <w:tblGrid>
        <w:gridCol w:w="4874"/>
        <w:gridCol w:w="4874"/>
      </w:tblGrid>
      <w:tr>
        <w:trPr>
          <w:cantSplit/>
        </w:trPr>
        <w:tc>
          <w:tcPr>
            <w:tcW w:w="487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9"/>
                <w:szCs w:val="22"/>
                <w:lang w:val="en-US" w:eastAsia="en-US" w:bidi="ar-SA"/>
              </w:rPr>
              <w:t>Outcome</w:t>
            </w:r>
          </w:p>
        </w:tc>
        <w:tc>
          <w:tcPr>
            <w:tcW w:w="487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9"/>
                <w:szCs w:val="22"/>
                <w:lang w:val="en-US" w:eastAsia="en-US" w:bidi="ar-SA"/>
              </w:rPr>
              <w:t>Capability</w:t>
            </w:r>
          </w:p>
        </w:tc>
      </w:tr>
      <w:tr>
        <w:trPr>
          <w:cantSplit/>
        </w:trPr>
        <w:tc>
          <w:tcPr>
            <w:tcW w:w="487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9"/>
                <w:szCs w:val="22"/>
                <w:lang w:val="en-US" w:eastAsia="en-US" w:bidi="ar-SA"/>
              </w:rPr>
              <w:t>LO1</w:t>
            </w:r>
          </w:p>
        </w:tc>
        <w:tc>
          <w:tcPr>
            <w:tcW w:w="487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9"/>
                <w:szCs w:val="22"/>
                <w:lang w:val="en-US" w:eastAsia="en-US" w:bidi="ar-SA"/>
              </w:rPr>
              <w:t>Implement content management policies and post and update content using Google Drive.</w:t>
            </w:r>
          </w:p>
        </w:tc>
      </w:tr>
      <w:tr>
        <w:trPr>
          <w:cantSplit/>
        </w:trPr>
        <w:tc>
          <w:tcPr>
            <w:tcW w:w="487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9"/>
                <w:szCs w:val="22"/>
                <w:lang w:val="en-US" w:eastAsia="en-US" w:bidi="ar-SA"/>
              </w:rPr>
              <w:t>LO2</w:t>
            </w:r>
          </w:p>
        </w:tc>
        <w:tc>
          <w:tcPr>
            <w:tcW w:w="487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9"/>
                <w:szCs w:val="22"/>
                <w:lang w:val="en-US" w:eastAsia="en-US" w:bidi="ar-SA"/>
              </w:rPr>
              <w:t>Maintain web properties and assets, create and curate content, and maintain awareness of market offerings.</w:t>
            </w:r>
          </w:p>
        </w:tc>
      </w:tr>
      <w:tr>
        <w:trPr>
          <w:cantSplit/>
        </w:trPr>
        <w:tc>
          <w:tcPr>
            <w:tcW w:w="487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9"/>
                <w:szCs w:val="22"/>
                <w:lang w:val="en-US" w:eastAsia="en-US" w:bidi="ar-SA"/>
              </w:rPr>
              <w:t>LO3</w:t>
            </w:r>
          </w:p>
        </w:tc>
        <w:tc>
          <w:tcPr>
            <w:tcW w:w="487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9"/>
                <w:szCs w:val="22"/>
                <w:lang w:val="en-US" w:eastAsia="en-US" w:bidi="ar-SA"/>
              </w:rPr>
              <w:t>Report performance metrics, recommend appropriate add-ons, and generate ideas to improve customer and visitor experience.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0"/>
        <w:rPr/>
      </w:pPr>
      <w:bookmarkStart w:id="2" w:name="__RefHeading___Toc10022_4150310382"/>
      <w:bookmarkEnd w:id="2"/>
      <w:r>
        <w:rPr/>
        <w:t>Daily schedule</w:t>
      </w:r>
    </w:p>
    <w:tbl>
      <w:tblPr>
        <w:tblStyle w:val="TableGrid"/>
        <w:tblW w:w="975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lastColumn="0" w:firstColumn="1" w:lastRow="0" w:firstRow="1" w:noVBand="1" w:val="04a0"/>
      </w:tblPr>
      <w:tblGrid>
        <w:gridCol w:w="1950"/>
        <w:gridCol w:w="1950"/>
        <w:gridCol w:w="1950"/>
        <w:gridCol w:w="1950"/>
        <w:gridCol w:w="1950"/>
      </w:tblGrid>
      <w:tr>
        <w:trPr>
          <w:cantSplit/>
        </w:trPr>
        <w:tc>
          <w:tcPr>
            <w:tcW w:w="195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9"/>
                <w:szCs w:val="22"/>
                <w:lang w:val="en-US" w:eastAsia="en-US" w:bidi="ar-SA"/>
              </w:rPr>
              <w:t>Day / time</w:t>
            </w:r>
          </w:p>
        </w:tc>
        <w:tc>
          <w:tcPr>
            <w:tcW w:w="195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9"/>
                <w:szCs w:val="22"/>
                <w:lang w:val="en-US" w:eastAsia="en-US" w:bidi="ar-SA"/>
              </w:rPr>
              <w:t>Minutes</w:t>
            </w:r>
          </w:p>
        </w:tc>
        <w:tc>
          <w:tcPr>
            <w:tcW w:w="195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9"/>
                <w:szCs w:val="22"/>
                <w:lang w:val="en-US" w:eastAsia="en-US" w:bidi="ar-SA"/>
              </w:rPr>
              <w:t>Session</w:t>
            </w:r>
          </w:p>
        </w:tc>
        <w:tc>
          <w:tcPr>
            <w:tcW w:w="195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9"/>
                <w:szCs w:val="22"/>
                <w:lang w:val="en-US" w:eastAsia="en-US" w:bidi="ar-SA"/>
              </w:rPr>
              <w:t>Method</w:t>
            </w:r>
          </w:p>
        </w:tc>
        <w:tc>
          <w:tcPr>
            <w:tcW w:w="195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9"/>
                <w:szCs w:val="22"/>
                <w:lang w:val="en-US" w:eastAsia="en-US" w:bidi="ar-SA"/>
              </w:rPr>
              <w:t>Slides</w:t>
            </w:r>
          </w:p>
        </w:tc>
      </w:tr>
      <w:tr>
        <w:trPr>
          <w:cantSplit/>
        </w:trPr>
        <w:tc>
          <w:tcPr>
            <w:tcW w:w="195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9"/>
                <w:szCs w:val="22"/>
                <w:lang w:val="en-US" w:eastAsia="en-US" w:bidi="ar-SA"/>
              </w:rPr>
              <w:t xml:space="preserve">Day 1 09:30–10:00</w:t>
            </w:r>
          </w:p>
        </w:tc>
        <w:tc>
          <w:tcPr>
            <w:tcW w:w="195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9"/>
                <w:szCs w:val="22"/>
                <w:lang w:val="en-US" w:eastAsia="en-US" w:bidi="ar-SA"/>
              </w:rPr>
              <w:t xml:space="preserve">30</w:t>
            </w:r>
          </w:p>
        </w:tc>
        <w:tc>
          <w:tcPr>
            <w:tcW w:w="195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9"/>
                <w:szCs w:val="22"/>
                <w:lang w:val="en-US" w:eastAsia="en-US" w:bidi="ar-SA"/>
              </w:rPr>
              <w:t xml:space="preserve">Admin, baseline and access readiness</w:t>
            </w:r>
          </w:p>
        </w:tc>
        <w:tc>
          <w:tcPr>
            <w:tcW w:w="195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9"/>
                <w:szCs w:val="22"/>
                <w:lang w:val="en-US" w:eastAsia="en-US" w:bidi="ar-SA"/>
              </w:rPr>
              <w:t xml:space="preserve">Discussion</w:t>
            </w:r>
          </w:p>
        </w:tc>
        <w:tc>
          <w:tcPr>
            <w:tcW w:w="195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9"/>
                <w:szCs w:val="22"/>
                <w:lang w:val="en-US" w:eastAsia="en-US" w:bidi="ar-SA"/>
              </w:rPr>
              <w:t xml:space="preserve">—</w:t>
            </w:r>
          </w:p>
        </w:tc>
      </w:tr>
      <w:tr>
        <w:trPr>
          <w:cantSplit/>
        </w:trPr>
        <w:tc>
          <w:tcPr>
            <w:tcW w:w="195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9"/>
                <w:szCs w:val="22"/>
                <w:lang w:val="en-US" w:eastAsia="en-US" w:bidi="ar-SA"/>
              </w:rPr>
              <w:t xml:space="preserve">Day 1 10:00–12:15</w:t>
            </w:r>
          </w:p>
        </w:tc>
        <w:tc>
          <w:tcPr>
            <w:tcW w:w="195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9"/>
                <w:szCs w:val="22"/>
                <w:lang w:val="en-US" w:eastAsia="en-US" w:bidi="ar-SA"/>
              </w:rPr>
              <w:t xml:space="preserve">135</w:t>
            </w:r>
          </w:p>
        </w:tc>
        <w:tc>
          <w:tcPr>
            <w:tcW w:w="195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9"/>
                <w:szCs w:val="22"/>
                <w:lang w:val="en-US" w:eastAsia="en-US" w:bidi="ar-SA"/>
              </w:rPr>
              <w:t xml:space="preserve">Activities 1–5; Drive governance + demos</w:t>
            </w:r>
          </w:p>
        </w:tc>
        <w:tc>
          <w:tcPr>
            <w:tcW w:w="195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9"/>
                <w:szCs w:val="22"/>
                <w:lang w:val="en-US" w:eastAsia="en-US" w:bidi="ar-SA"/>
              </w:rPr>
              <w:t xml:space="preserve">Mechanism demo / practice</w:t>
            </w:r>
          </w:p>
        </w:tc>
        <w:tc>
          <w:tcPr>
            <w:tcW w:w="195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9"/>
                <w:szCs w:val="22"/>
                <w:lang w:val="en-US" w:eastAsia="en-US" w:bidi="ar-SA"/>
              </w:rPr>
              <w:t xml:space="preserve">11–55; also 238,239,240,241</w:t>
            </w:r>
          </w:p>
        </w:tc>
      </w:tr>
      <w:tr>
        <w:trPr>
          <w:cantSplit/>
        </w:trPr>
        <w:tc>
          <w:tcPr>
            <w:tcW w:w="195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9"/>
                <w:szCs w:val="22"/>
                <w:lang w:val="en-US" w:eastAsia="en-US" w:bidi="ar-SA"/>
              </w:rPr>
              <w:t xml:space="preserve">Day 1 12:15–12:45</w:t>
            </w:r>
          </w:p>
        </w:tc>
        <w:tc>
          <w:tcPr>
            <w:tcW w:w="195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9"/>
                <w:szCs w:val="22"/>
                <w:lang w:val="en-US" w:eastAsia="en-US" w:bidi="ar-SA"/>
              </w:rPr>
              <w:t xml:space="preserve">30</w:t>
            </w:r>
          </w:p>
        </w:tc>
        <w:tc>
          <w:tcPr>
            <w:tcW w:w="195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9"/>
                <w:szCs w:val="22"/>
                <w:lang w:val="en-US" w:eastAsia="en-US" w:bidi="ar-SA"/>
              </w:rPr>
              <w:t xml:space="preserve">Activity 6; Docs review + demo</w:t>
            </w:r>
          </w:p>
        </w:tc>
        <w:tc>
          <w:tcPr>
            <w:tcW w:w="195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9"/>
                <w:szCs w:val="22"/>
                <w:lang w:val="en-US" w:eastAsia="en-US" w:bidi="ar-SA"/>
              </w:rPr>
              <w:t xml:space="preserve">Paired review</w:t>
            </w:r>
          </w:p>
        </w:tc>
        <w:tc>
          <w:tcPr>
            <w:tcW w:w="195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9"/>
                <w:szCs w:val="22"/>
                <w:lang w:val="en-US" w:eastAsia="en-US" w:bidi="ar-SA"/>
              </w:rPr>
              <w:t xml:space="preserve">57–65</w:t>
            </w:r>
          </w:p>
        </w:tc>
      </w:tr>
      <w:tr>
        <w:trPr>
          <w:cantSplit/>
        </w:trPr>
        <w:tc>
          <w:tcPr>
            <w:tcW w:w="195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9"/>
                <w:szCs w:val="22"/>
                <w:lang w:val="en-US" w:eastAsia="en-US" w:bidi="ar-SA"/>
              </w:rPr>
              <w:t xml:space="preserve">Day 1 12:45–13:15</w:t>
            </w:r>
          </w:p>
        </w:tc>
        <w:tc>
          <w:tcPr>
            <w:tcW w:w="195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9"/>
                <w:szCs w:val="22"/>
                <w:lang w:val="en-US" w:eastAsia="en-US" w:bidi="ar-SA"/>
              </w:rPr>
              <w:t xml:space="preserve">0</w:t>
            </w:r>
          </w:p>
        </w:tc>
        <w:tc>
          <w:tcPr>
            <w:tcW w:w="195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9"/>
                <w:szCs w:val="22"/>
                <w:lang w:val="en-US" w:eastAsia="en-US" w:bidi="ar-SA"/>
              </w:rPr>
              <w:t xml:space="preserve">Lunch</w:t>
            </w:r>
          </w:p>
        </w:tc>
        <w:tc>
          <w:tcPr>
            <w:tcW w:w="195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9"/>
                <w:szCs w:val="22"/>
                <w:lang w:val="en-US" w:eastAsia="en-US" w:bidi="ar-SA"/>
              </w:rPr>
              <w:t xml:space="preserve">Break</w:t>
            </w:r>
          </w:p>
        </w:tc>
        <w:tc>
          <w:tcPr>
            <w:tcW w:w="195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9"/>
                <w:szCs w:val="22"/>
                <w:lang w:val="en-US" w:eastAsia="en-US" w:bidi="ar-SA"/>
              </w:rPr>
              <w:t xml:space="preserve">—</w:t>
            </w:r>
          </w:p>
        </w:tc>
      </w:tr>
      <w:tr>
        <w:trPr>
          <w:cantSplit/>
        </w:trPr>
        <w:tc>
          <w:tcPr>
            <w:tcW w:w="195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9"/>
                <w:szCs w:val="22"/>
                <w:lang w:val="en-US" w:eastAsia="en-US" w:bidi="ar-SA"/>
              </w:rPr>
              <w:t xml:space="preserve">Day 1 13:15–15:15</w:t>
            </w:r>
          </w:p>
        </w:tc>
        <w:tc>
          <w:tcPr>
            <w:tcW w:w="195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9"/>
                <w:szCs w:val="22"/>
                <w:lang w:val="en-US" w:eastAsia="en-US" w:bidi="ar-SA"/>
              </w:rPr>
              <w:t xml:space="preserve">120</w:t>
            </w:r>
          </w:p>
        </w:tc>
        <w:tc>
          <w:tcPr>
            <w:tcW w:w="195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9"/>
                <w:szCs w:val="22"/>
                <w:lang w:val="en-US" w:eastAsia="en-US" w:bidi="ar-SA"/>
              </w:rPr>
              <w:t xml:space="preserve">Activities 7–10; Docs/Sheets + demos</w:t>
            </w:r>
          </w:p>
        </w:tc>
        <w:tc>
          <w:tcPr>
            <w:tcW w:w="195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9"/>
                <w:szCs w:val="22"/>
                <w:lang w:val="en-US" w:eastAsia="en-US" w:bidi="ar-SA"/>
              </w:rPr>
              <w:t xml:space="preserve">Guided practice</w:t>
            </w:r>
          </w:p>
        </w:tc>
        <w:tc>
          <w:tcPr>
            <w:tcW w:w="195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9"/>
                <w:szCs w:val="22"/>
                <w:lang w:val="en-US" w:eastAsia="en-US" w:bidi="ar-SA"/>
              </w:rPr>
              <w:t xml:space="preserve">66–101; also 246,247,248,249,250,251,252,253</w:t>
            </w:r>
          </w:p>
        </w:tc>
      </w:tr>
      <w:tr>
        <w:trPr>
          <w:cantSplit/>
        </w:trPr>
        <w:tc>
          <w:tcPr>
            <w:tcW w:w="195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9"/>
                <w:szCs w:val="22"/>
                <w:lang w:val="en-US" w:eastAsia="en-US" w:bidi="ar-SA"/>
              </w:rPr>
              <w:t xml:space="preserve">Day 1 15:15–16:30</w:t>
            </w:r>
          </w:p>
        </w:tc>
        <w:tc>
          <w:tcPr>
            <w:tcW w:w="195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9"/>
                <w:szCs w:val="22"/>
                <w:lang w:val="en-US" w:eastAsia="en-US" w:bidi="ar-SA"/>
              </w:rPr>
              <w:t xml:space="preserve">75</w:t>
            </w:r>
          </w:p>
        </w:tc>
        <w:tc>
          <w:tcPr>
            <w:tcW w:w="195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9"/>
                <w:szCs w:val="22"/>
                <w:lang w:val="en-US" w:eastAsia="en-US" w:bidi="ar-SA"/>
              </w:rPr>
              <w:t xml:space="preserve">Activities 11–13; Slides/Forms</w:t>
            </w:r>
          </w:p>
        </w:tc>
        <w:tc>
          <w:tcPr>
            <w:tcW w:w="195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9"/>
                <w:szCs w:val="22"/>
                <w:lang w:val="en-US" w:eastAsia="en-US" w:bidi="ar-SA"/>
              </w:rPr>
              <w:t xml:space="preserve">Practice / evidence review</w:t>
            </w:r>
          </w:p>
        </w:tc>
        <w:tc>
          <w:tcPr>
            <w:tcW w:w="195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9"/>
                <w:szCs w:val="22"/>
                <w:lang w:val="en-US" w:eastAsia="en-US" w:bidi="ar-SA"/>
              </w:rPr>
              <w:t xml:space="preserve">102–128; also 254</w:t>
            </w:r>
          </w:p>
        </w:tc>
      </w:tr>
      <w:tr>
        <w:trPr>
          <w:cantSplit/>
        </w:trPr>
        <w:tc>
          <w:tcPr>
            <w:tcW w:w="195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9"/>
                <w:szCs w:val="22"/>
                <w:lang w:val="en-US" w:eastAsia="en-US" w:bidi="ar-SA"/>
              </w:rPr>
              <w:t xml:space="preserve">Day 1 16:30–17:30</w:t>
            </w:r>
          </w:p>
        </w:tc>
        <w:tc>
          <w:tcPr>
            <w:tcW w:w="195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9"/>
                <w:szCs w:val="22"/>
                <w:lang w:val="en-US" w:eastAsia="en-US" w:bidi="ar-SA"/>
              </w:rPr>
              <w:t xml:space="preserve">60</w:t>
            </w:r>
          </w:p>
        </w:tc>
        <w:tc>
          <w:tcPr>
            <w:tcW w:w="195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9"/>
                <w:szCs w:val="22"/>
                <w:lang w:val="en-US" w:eastAsia="en-US" w:bidi="ar-SA"/>
              </w:rPr>
              <w:t xml:space="preserve">Activities 14–15; Gmail + review</w:t>
            </w:r>
          </w:p>
        </w:tc>
        <w:tc>
          <w:tcPr>
            <w:tcW w:w="195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9"/>
                <w:szCs w:val="22"/>
                <w:lang w:val="en-US" w:eastAsia="en-US" w:bidi="ar-SA"/>
              </w:rPr>
              <w:t xml:space="preserve">Practice / evidence review</w:t>
            </w:r>
          </w:p>
        </w:tc>
        <w:tc>
          <w:tcPr>
            <w:tcW w:w="195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9"/>
                <w:szCs w:val="22"/>
                <w:lang w:val="en-US" w:eastAsia="en-US" w:bidi="ar-SA"/>
              </w:rPr>
              <w:t xml:space="preserve">129–146</w:t>
            </w:r>
          </w:p>
        </w:tc>
      </w:tr>
      <w:tr>
        <w:trPr>
          <w:cantSplit/>
        </w:trPr>
        <w:tc>
          <w:tcPr>
            <w:tcW w:w="195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9"/>
                <w:szCs w:val="22"/>
                <w:lang w:val="en-US" w:eastAsia="en-US" w:bidi="ar-SA"/>
              </w:rPr>
              <w:t xml:space="preserve">Day 2 09:30–11:30</w:t>
            </w:r>
          </w:p>
        </w:tc>
        <w:tc>
          <w:tcPr>
            <w:tcW w:w="195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9"/>
                <w:szCs w:val="22"/>
                <w:lang w:val="en-US" w:eastAsia="en-US" w:bidi="ar-SA"/>
              </w:rPr>
              <w:t xml:space="preserve">120</w:t>
            </w:r>
          </w:p>
        </w:tc>
        <w:tc>
          <w:tcPr>
            <w:tcW w:w="195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9"/>
                <w:szCs w:val="22"/>
                <w:lang w:val="en-US" w:eastAsia="en-US" w:bidi="ar-SA"/>
              </w:rPr>
              <w:t xml:space="preserve">Activities 16–18; Calendar/Meet/Chat + demo</w:t>
            </w:r>
          </w:p>
        </w:tc>
        <w:tc>
          <w:tcPr>
            <w:tcW w:w="195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9"/>
                <w:szCs w:val="22"/>
                <w:lang w:val="en-US" w:eastAsia="en-US" w:bidi="ar-SA"/>
              </w:rPr>
              <w:t xml:space="preserve">Paired practice</w:t>
            </w:r>
          </w:p>
        </w:tc>
        <w:tc>
          <w:tcPr>
            <w:tcW w:w="195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9"/>
                <w:szCs w:val="22"/>
                <w:lang w:val="en-US" w:eastAsia="en-US" w:bidi="ar-SA"/>
              </w:rPr>
              <w:t xml:space="preserve">147–173; also 244,245</w:t>
            </w:r>
          </w:p>
        </w:tc>
      </w:tr>
      <w:tr>
        <w:trPr>
          <w:cantSplit/>
        </w:trPr>
        <w:tc>
          <w:tcPr>
            <w:tcW w:w="195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9"/>
                <w:szCs w:val="22"/>
                <w:lang w:val="en-US" w:eastAsia="en-US" w:bidi="ar-SA"/>
              </w:rPr>
              <w:t xml:space="preserve">Day 2 11:30–12:45</w:t>
            </w:r>
          </w:p>
        </w:tc>
        <w:tc>
          <w:tcPr>
            <w:tcW w:w="195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9"/>
                <w:szCs w:val="22"/>
                <w:lang w:val="en-US" w:eastAsia="en-US" w:bidi="ar-SA"/>
              </w:rPr>
              <w:t xml:space="preserve">75</w:t>
            </w:r>
          </w:p>
        </w:tc>
        <w:tc>
          <w:tcPr>
            <w:tcW w:w="195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9"/>
                <w:szCs w:val="22"/>
                <w:lang w:val="en-US" w:eastAsia="en-US" w:bidi="ar-SA"/>
              </w:rPr>
              <w:t xml:space="preserve">Activities 19–20; Sites</w:t>
            </w:r>
          </w:p>
        </w:tc>
        <w:tc>
          <w:tcPr>
            <w:tcW w:w="195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9"/>
                <w:szCs w:val="22"/>
                <w:lang w:val="en-US" w:eastAsia="en-US" w:bidi="ar-SA"/>
              </w:rPr>
              <w:t xml:space="preserve">Practice / source analysis</w:t>
            </w:r>
          </w:p>
        </w:tc>
        <w:tc>
          <w:tcPr>
            <w:tcW w:w="195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9"/>
                <w:szCs w:val="22"/>
                <w:lang w:val="en-US" w:eastAsia="en-US" w:bidi="ar-SA"/>
              </w:rPr>
              <w:t xml:space="preserve">174–191</w:t>
            </w:r>
          </w:p>
        </w:tc>
      </w:tr>
      <w:tr>
        <w:trPr>
          <w:cantSplit/>
        </w:trPr>
        <w:tc>
          <w:tcPr>
            <w:tcW w:w="195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9"/>
                <w:szCs w:val="22"/>
                <w:lang w:val="en-US" w:eastAsia="en-US" w:bidi="ar-SA"/>
              </w:rPr>
              <w:t xml:space="preserve">Day 2 12:45–13:15</w:t>
            </w:r>
          </w:p>
        </w:tc>
        <w:tc>
          <w:tcPr>
            <w:tcW w:w="195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9"/>
                <w:szCs w:val="22"/>
                <w:lang w:val="en-US" w:eastAsia="en-US" w:bidi="ar-SA"/>
              </w:rPr>
              <w:t xml:space="preserve">0</w:t>
            </w:r>
          </w:p>
        </w:tc>
        <w:tc>
          <w:tcPr>
            <w:tcW w:w="195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9"/>
                <w:szCs w:val="22"/>
                <w:lang w:val="en-US" w:eastAsia="en-US" w:bidi="ar-SA"/>
              </w:rPr>
              <w:t xml:space="preserve">Lunch</w:t>
            </w:r>
          </w:p>
        </w:tc>
        <w:tc>
          <w:tcPr>
            <w:tcW w:w="195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9"/>
                <w:szCs w:val="22"/>
                <w:lang w:val="en-US" w:eastAsia="en-US" w:bidi="ar-SA"/>
              </w:rPr>
              <w:t xml:space="preserve">Break</w:t>
            </w:r>
          </w:p>
        </w:tc>
        <w:tc>
          <w:tcPr>
            <w:tcW w:w="195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9"/>
                <w:szCs w:val="22"/>
                <w:lang w:val="en-US" w:eastAsia="en-US" w:bidi="ar-SA"/>
              </w:rPr>
              <w:t xml:space="preserve">—</w:t>
            </w:r>
          </w:p>
        </w:tc>
      </w:tr>
      <w:tr>
        <w:trPr>
          <w:cantSplit/>
        </w:trPr>
        <w:tc>
          <w:tcPr>
            <w:tcW w:w="195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9"/>
                <w:szCs w:val="22"/>
                <w:lang w:val="en-US" w:eastAsia="en-US" w:bidi="ar-SA"/>
              </w:rPr>
              <w:t xml:space="preserve">Day 2 13:15–14:00</w:t>
            </w:r>
          </w:p>
        </w:tc>
        <w:tc>
          <w:tcPr>
            <w:tcW w:w="195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9"/>
                <w:szCs w:val="22"/>
                <w:lang w:val="en-US" w:eastAsia="en-US" w:bidi="ar-SA"/>
              </w:rPr>
              <w:t xml:space="preserve">45</w:t>
            </w:r>
          </w:p>
        </w:tc>
        <w:tc>
          <w:tcPr>
            <w:tcW w:w="195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9"/>
                <w:szCs w:val="22"/>
                <w:lang w:val="en-US" w:eastAsia="en-US" w:bidi="ar-SA"/>
              </w:rPr>
              <w:t xml:space="preserve">Activity 21; CMS offerings comparison</w:t>
            </w:r>
          </w:p>
        </w:tc>
        <w:tc>
          <w:tcPr>
            <w:tcW w:w="195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9"/>
                <w:szCs w:val="22"/>
                <w:lang w:val="en-US" w:eastAsia="en-US" w:bidi="ar-SA"/>
              </w:rPr>
              <w:t xml:space="preserve">Practice / source analysis</w:t>
            </w:r>
          </w:p>
        </w:tc>
        <w:tc>
          <w:tcPr>
            <w:tcW w:w="195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9"/>
                <w:szCs w:val="22"/>
                <w:lang w:val="en-US" w:eastAsia="en-US" w:bidi="ar-SA"/>
              </w:rPr>
              <w:t xml:space="preserve">192–200; also 242,243,255</w:t>
            </w:r>
          </w:p>
        </w:tc>
      </w:tr>
      <w:tr>
        <w:trPr>
          <w:cantSplit/>
        </w:trPr>
        <w:tc>
          <w:tcPr>
            <w:tcW w:w="195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9"/>
                <w:szCs w:val="22"/>
                <w:lang w:val="en-US" w:eastAsia="en-US" w:bidi="ar-SA"/>
              </w:rPr>
              <w:t xml:space="preserve">Day 2 14:00–15:30</w:t>
            </w:r>
          </w:p>
        </w:tc>
        <w:tc>
          <w:tcPr>
            <w:tcW w:w="195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9"/>
                <w:szCs w:val="22"/>
                <w:lang w:val="en-US" w:eastAsia="en-US" w:bidi="ar-SA"/>
              </w:rPr>
              <w:t xml:space="preserve">90</w:t>
            </w:r>
          </w:p>
        </w:tc>
        <w:tc>
          <w:tcPr>
            <w:tcW w:w="195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9"/>
                <w:szCs w:val="22"/>
                <w:lang w:val="en-US" w:eastAsia="en-US" w:bidi="ar-SA"/>
              </w:rPr>
              <w:t xml:space="preserve">Activities 22–23; metrics and visitor journey</w:t>
            </w:r>
          </w:p>
        </w:tc>
        <w:tc>
          <w:tcPr>
            <w:tcW w:w="195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9"/>
                <w:szCs w:val="22"/>
                <w:lang w:val="en-US" w:eastAsia="en-US" w:bidi="ar-SA"/>
              </w:rPr>
              <w:t xml:space="preserve">Analysis</w:t>
            </w:r>
          </w:p>
        </w:tc>
        <w:tc>
          <w:tcPr>
            <w:tcW w:w="195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9"/>
                <w:szCs w:val="22"/>
                <w:lang w:val="en-US" w:eastAsia="en-US" w:bidi="ar-SA"/>
              </w:rPr>
              <w:t xml:space="preserve">202–219; also 256,257,258,259</w:t>
            </w:r>
          </w:p>
        </w:tc>
      </w:tr>
      <w:tr>
        <w:trPr>
          <w:cantSplit/>
        </w:trPr>
        <w:tc>
          <w:tcPr>
            <w:tcW w:w="195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9"/>
                <w:szCs w:val="22"/>
                <w:lang w:val="en-US" w:eastAsia="en-US" w:bidi="ar-SA"/>
              </w:rPr>
              <w:t xml:space="preserve">Day 2 15:30–16:15</w:t>
            </w:r>
          </w:p>
        </w:tc>
        <w:tc>
          <w:tcPr>
            <w:tcW w:w="195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9"/>
                <w:szCs w:val="22"/>
                <w:lang w:val="en-US" w:eastAsia="en-US" w:bidi="ar-SA"/>
              </w:rPr>
              <w:t xml:space="preserve">45</w:t>
            </w:r>
          </w:p>
        </w:tc>
        <w:tc>
          <w:tcPr>
            <w:tcW w:w="195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9"/>
                <w:szCs w:val="22"/>
                <w:lang w:val="en-US" w:eastAsia="en-US" w:bidi="ar-SA"/>
              </w:rPr>
              <w:t xml:space="preserve">Activity 24; add-on selection</w:t>
            </w:r>
          </w:p>
        </w:tc>
        <w:tc>
          <w:tcPr>
            <w:tcW w:w="195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9"/>
                <w:szCs w:val="22"/>
                <w:lang w:val="en-US" w:eastAsia="en-US" w:bidi="ar-SA"/>
              </w:rPr>
              <w:t xml:space="preserve">Analysis / administrator review</w:t>
            </w:r>
          </w:p>
        </w:tc>
        <w:tc>
          <w:tcPr>
            <w:tcW w:w="195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9"/>
                <w:szCs w:val="22"/>
                <w:lang w:val="en-US" w:eastAsia="en-US" w:bidi="ar-SA"/>
              </w:rPr>
              <w:t xml:space="preserve">220–228</w:t>
            </w:r>
          </w:p>
        </w:tc>
      </w:tr>
      <w:tr>
        <w:trPr>
          <w:cantSplit/>
        </w:trPr>
        <w:tc>
          <w:tcPr>
            <w:tcW w:w="195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9"/>
                <w:szCs w:val="22"/>
                <w:lang w:val="en-US" w:eastAsia="en-US" w:bidi="ar-SA"/>
              </w:rPr>
              <w:t xml:space="preserve">Day 2 16:15–17:00</w:t>
            </w:r>
          </w:p>
        </w:tc>
        <w:tc>
          <w:tcPr>
            <w:tcW w:w="195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9"/>
                <w:szCs w:val="22"/>
                <w:lang w:val="en-US" w:eastAsia="en-US" w:bidi="ar-SA"/>
              </w:rPr>
              <w:t xml:space="preserve">45</w:t>
            </w:r>
          </w:p>
        </w:tc>
        <w:tc>
          <w:tcPr>
            <w:tcW w:w="195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9"/>
                <w:szCs w:val="22"/>
                <w:lang w:val="en-US" w:eastAsia="en-US" w:bidi="ar-SA"/>
              </w:rPr>
              <w:t xml:space="preserve">Activity 25; Apps Script integration</w:t>
            </w:r>
          </w:p>
        </w:tc>
        <w:tc>
          <w:tcPr>
            <w:tcW w:w="195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9"/>
                <w:szCs w:val="22"/>
                <w:lang w:val="en-US" w:eastAsia="en-US" w:bidi="ar-SA"/>
              </w:rPr>
              <w:t xml:space="preserve">Guarded code</w:t>
            </w:r>
          </w:p>
        </w:tc>
        <w:tc>
          <w:tcPr>
            <w:tcW w:w="195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9"/>
                <w:szCs w:val="22"/>
                <w:lang w:val="en-US" w:eastAsia="en-US" w:bidi="ar-SA"/>
              </w:rPr>
              <w:t xml:space="preserve">229–237</w:t>
            </w:r>
          </w:p>
        </w:tc>
      </w:tr>
      <w:tr>
        <w:trPr>
          <w:cantSplit/>
        </w:trPr>
        <w:tc>
          <w:tcPr>
            <w:tcW w:w="195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9"/>
                <w:szCs w:val="22"/>
                <w:lang w:val="en-US" w:eastAsia="en-US" w:bidi="ar-SA"/>
              </w:rPr>
              <w:t xml:space="preserve">Day 2 17:00–17:30</w:t>
            </w:r>
          </w:p>
        </w:tc>
        <w:tc>
          <w:tcPr>
            <w:tcW w:w="195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9"/>
                <w:szCs w:val="22"/>
                <w:lang w:val="en-US" w:eastAsia="en-US" w:bidi="ar-SA"/>
              </w:rPr>
              <w:t xml:space="preserve">30</w:t>
            </w:r>
          </w:p>
        </w:tc>
        <w:tc>
          <w:tcPr>
            <w:tcW w:w="195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9"/>
                <w:szCs w:val="22"/>
                <w:lang w:val="en-US" w:eastAsia="en-US" w:bidi="ar-SA"/>
              </w:rPr>
              <w:t xml:space="preserve">Review, Q&amp;A and course feedback</w:t>
            </w:r>
          </w:p>
        </w:tc>
        <w:tc>
          <w:tcPr>
            <w:tcW w:w="195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9"/>
                <w:szCs w:val="22"/>
                <w:lang w:val="en-US" w:eastAsia="en-US" w:bidi="ar-SA"/>
              </w:rPr>
              <w:t xml:space="preserve">Discussion</w:t>
            </w:r>
          </w:p>
        </w:tc>
        <w:tc>
          <w:tcPr>
            <w:tcW w:w="195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9"/>
                <w:szCs w:val="22"/>
                <w:lang w:val="en-US" w:eastAsia="en-US" w:bidi="ar-SA"/>
              </w:rPr>
              <w:t xml:space="preserve">260</w:t>
            </w:r>
          </w:p>
        </w:tc>
      </w:tr>
    </w:tbl>
    <w:p>
      <w:pPr>
        <w:pStyle w:val="Normal"/>
        <w:rPr/>
      </w:pPr>
      <w:r>
        <w:rPr/>
        <w:t xml:space="preserve">Teaching minutes sum 900: 450 per day, 7.5 instructional hours. Each day runs 9:30am – 5:30pm with a single 30-minute lunch outside teaching time; refreshments are taken during activity time. Activity durations plus facilitator demos and review fit each scheduled block.</w:t>
      </w:r>
    </w:p>
    <w:p>
      <w:pPr>
        <w:pStyle w:val="Heading1"/>
        <w:rPr/>
      </w:pPr>
      <w:bookmarkStart w:id="3" w:name="__RefHeading___Toc10024_4150310382"/>
      <w:bookmarkEnd w:id="3"/>
      <w:r>
        <w:rPr/>
        <w:t>Governance and Drive content lifecycle</w:t>
      </w:r>
    </w:p>
    <w:p>
      <w:pPr>
        <w:pStyle w:val="Normal"/>
        <w:rPr/>
      </w:pPr>
      <w:r>
        <w:rPr/>
        <w:t xml:space="preserve">Divider slide 10; teaching range 10–55; LO1</w:t>
      </w:r>
    </w:p>
    <w:p>
      <w:pPr>
        <w:pStyle w:val="Heading2"/>
        <w:rPr/>
      </w:pPr>
      <w:bookmarkStart w:id="4" w:name="__RefHeading___Toc10026_4150310382"/>
      <w:bookmarkEnd w:id="4"/>
      <w:r>
        <w:rPr/>
        <w:t xml:space="preserve">Activity 1 Content policy and identity boundaries Slide 19</w:t>
      </w:r>
    </w:p>
    <w:p>
      <w:pPr>
        <w:pStyle w:val="Normal"/>
        <w:rPr/>
      </w:pPr>
      <w:r>
        <w:rPr/>
        <w:t xml:space="preserve">20 minutes; slides 11–19</w:t>
      </w:r>
    </w:p>
    <w:p>
      <w:pPr>
        <w:pStyle w:val="Normal"/>
        <w:rPr/>
      </w:pPr>
      <w:r>
        <w:rPr/>
        <w:t>Completed policy covers classification, ownership, posting, review and exceptions; access evidence names the tested account and role.</w:t>
      </w:r>
    </w:p>
    <w:p>
      <w:pPr>
        <w:pStyle w:val="Normal"/>
        <w:rPr/>
      </w:pPr>
      <w:r>
        <w:rPr/>
        <w:t>Method: explain mechanism and contract; inspect worked artifact; compare fault/control evidence; complete activity procedure; verify with exact output or intended identity.</w:t>
      </w:r>
    </w:p>
    <w:p>
      <w:pPr>
        <w:pStyle w:val="Normal"/>
        <w:rPr/>
      </w:pPr>
      <w:r>
        <w:rPr/>
        <w:t xml:space="preserve">Additional mechanism/chart slides: 238,239,240,241. Teach during the block’s demo/review allocation.</w:t>
      </w:r>
    </w:p>
    <w:p>
      <w:pPr>
        <w:pStyle w:val="Normal"/>
        <w:rPr/>
      </w:pPr>
      <w:r>
        <w:rPr/>
        <w:t>Resources: Drive, Docs; administrator demonstration; activities/activity-01-content-policy-and-identity-boundaries/</w:t>
      </w:r>
    </w:p>
    <w:p>
      <w:pPr>
        <w:pStyle w:val="Normal"/>
        <w:rPr/>
      </w:pPr>
      <w:r>
        <w:rPr/>
        <w:t>Facilitator check: Restrict actual sharing and test another identity</w:t>
      </w:r>
    </w:p>
    <w:p>
      <w:pPr>
        <w:pStyle w:val="Heading2"/>
        <w:rPr/>
      </w:pPr>
      <w:bookmarkStart w:id="5" w:name="__RefHeading___Toc10028_4150310382"/>
      <w:bookmarkEnd w:id="5"/>
      <w:r>
        <w:rPr/>
        <w:t xml:space="preserve">Activity 2 Drive ownership and team structure Slide 28</w:t>
      </w:r>
    </w:p>
    <w:p>
      <w:pPr>
        <w:pStyle w:val="Normal"/>
        <w:rPr/>
      </w:pPr>
      <w:r>
        <w:rPr/>
        <w:t xml:space="preserve">20 minutes; slides 20–28</w:t>
      </w:r>
    </w:p>
    <w:p>
      <w:pPr>
        <w:pStyle w:val="Normal"/>
        <w:rPr/>
      </w:pPr>
      <w:r>
        <w:rPr/>
        <w:t>Folder structure and ownership register distinguish individual from organisation ownership; least-privilege role and unavailable-feature fallback are recorded.</w:t>
      </w:r>
    </w:p>
    <w:p>
      <w:pPr>
        <w:pStyle w:val="Normal"/>
        <w:rPr/>
      </w:pPr>
      <w:r>
        <w:rPr/>
        <w:t>Method: explain mechanism and contract; inspect worked artifact; compare fault/control evidence; complete activity procedure; verify with exact output or intended identity.</w:t>
      </w:r>
    </w:p>
    <w:p>
      <w:pPr>
        <w:pStyle w:val="Normal"/>
        <w:rPr/>
      </w:pPr>
      <w:r>
        <w:rPr/>
        <w:t>Additional mechanism/chart slides: None. Teach during the block’s demo/review allocation.</w:t>
      </w:r>
    </w:p>
    <w:p>
      <w:pPr>
        <w:pStyle w:val="Normal"/>
        <w:rPr/>
      </w:pPr>
      <w:r>
        <w:rPr/>
        <w:t>Resources: Drive; shared drive if available; activities/activity-02-drive-ownership-and-team-structure/</w:t>
      </w:r>
    </w:p>
    <w:p>
      <w:pPr>
        <w:pStyle w:val="Normal"/>
        <w:rPr/>
      </w:pPr>
      <w:r>
        <w:rPr/>
        <w:t>Facilitator check: Use fallback; record limitation</w:t>
      </w:r>
    </w:p>
    <w:p>
      <w:pPr>
        <w:pStyle w:val="Heading2"/>
        <w:rPr/>
      </w:pPr>
      <w:bookmarkStart w:id="6" w:name="__RefHeading___Toc10030_4150310382"/>
      <w:bookmarkEnd w:id="6"/>
      <w:r>
        <w:rPr/>
        <w:t xml:space="preserve">Activity 3 Sharing and effective access audit Slide 37</w:t>
      </w:r>
    </w:p>
    <w:p>
      <w:pPr>
        <w:pStyle w:val="Normal"/>
        <w:rPr/>
      </w:pPr>
      <w:r>
        <w:rPr/>
        <w:t xml:space="preserve">25 minutes; slides 29–37</w:t>
      </w:r>
    </w:p>
    <w:p>
      <w:pPr>
        <w:pStyle w:val="Normal"/>
        <w:rPr/>
      </w:pPr>
      <w:r>
        <w:rPr/>
        <w:t>Access register identifies all four grant paths; one approved allow and one uninvited deny outcome are recorded for the exact training asset.</w:t>
      </w:r>
    </w:p>
    <w:p>
      <w:pPr>
        <w:pStyle w:val="Normal"/>
        <w:rPr/>
      </w:pPr>
      <w:r>
        <w:rPr/>
        <w:t>Method: explain mechanism and contract; inspect worked artifact; compare fault/control evidence; complete activity procedure; verify with exact output or intended identity.</w:t>
      </w:r>
    </w:p>
    <w:p>
      <w:pPr>
        <w:pStyle w:val="Normal"/>
        <w:rPr/>
      </w:pPr>
      <w:r>
        <w:rPr/>
        <w:t>Additional mechanism/chart slides: None. Teach during the block’s demo/review allocation.</w:t>
      </w:r>
    </w:p>
    <w:p>
      <w:pPr>
        <w:pStyle w:val="Normal"/>
        <w:rPr/>
      </w:pPr>
      <w:r>
        <w:rPr/>
        <w:t>Resources: Drive, two test identities; activities/activity-03-sharing-and-effective-access-audit/</w:t>
      </w:r>
    </w:p>
    <w:p>
      <w:pPr>
        <w:pStyle w:val="Normal"/>
        <w:rPr/>
      </w:pPr>
      <w:r>
        <w:rPr/>
        <w:t>Facilitator check: Inspect and correct each authorised path</w:t>
      </w:r>
    </w:p>
    <w:p>
      <w:pPr>
        <w:pStyle w:val="Heading2"/>
        <w:rPr/>
      </w:pPr>
      <w:bookmarkStart w:id="7" w:name="__RefHeading___Toc10032_4150310382"/>
      <w:bookmarkEnd w:id="7"/>
      <w:r>
        <w:rPr/>
        <w:t xml:space="preserve">Activity 4 Posting lifecycle and asset metadata Slide 46</w:t>
      </w:r>
    </w:p>
    <w:p>
      <w:pPr>
        <w:pStyle w:val="Normal"/>
        <w:rPr/>
      </w:pPr>
      <w:r>
        <w:rPr/>
        <w:t xml:space="preserve">20 minutes; slides 38–46</w:t>
      </w:r>
    </w:p>
    <w:p>
      <w:pPr>
        <w:pStyle w:val="Normal"/>
        <w:rPr/>
      </w:pPr>
      <w:r>
        <w:rPr/>
        <w:t>One current P-101 source is registered, price is SGD 49, approval checkpoint and viewer evidence exist, and obsolete reference is retired.</w:t>
      </w:r>
    </w:p>
    <w:p>
      <w:pPr>
        <w:pStyle w:val="Normal"/>
        <w:rPr/>
      </w:pPr>
      <w:r>
        <w:rPr/>
        <w:t>Method: explain mechanism and contract; inspect worked artifact; compare fault/control evidence; complete activity procedure; verify with exact output or intended identity.</w:t>
      </w:r>
    </w:p>
    <w:p>
      <w:pPr>
        <w:pStyle w:val="Normal"/>
        <w:rPr/>
      </w:pPr>
      <w:r>
        <w:rPr/>
        <w:t>Additional mechanism/chart slides: None. Teach during the block’s demo/review allocation.</w:t>
      </w:r>
    </w:p>
    <w:p>
      <w:pPr>
        <w:pStyle w:val="Normal"/>
        <w:rPr/>
      </w:pPr>
      <w:r>
        <w:rPr/>
        <w:t>Resources: Drive, Docs, Sheets; activities/activity-04-posting-lifecycle-and-asset-metadata/</w:t>
      </w:r>
    </w:p>
    <w:p>
      <w:pPr>
        <w:pStyle w:val="Normal"/>
        <w:rPr/>
      </w:pPr>
      <w:r>
        <w:rPr/>
        <w:t>Facilitator check: Replace public reference; verify release ID</w:t>
      </w:r>
    </w:p>
    <w:p>
      <w:pPr>
        <w:pStyle w:val="Heading2"/>
        <w:rPr/>
      </w:pPr>
      <w:bookmarkStart w:id="8" w:name="__RefHeading___Toc10034_4150310382"/>
      <w:bookmarkEnd w:id="8"/>
      <w:r>
        <w:rPr/>
        <w:t xml:space="preserve">Activity 5 Search recovery and version diagnosis Slide 55</w:t>
      </w:r>
    </w:p>
    <w:p>
      <w:pPr>
        <w:pStyle w:val="Normal"/>
        <w:rPr/>
      </w:pPr>
      <w:r>
        <w:rPr/>
        <w:t xml:space="preserve">20 minutes; slides 47–55</w:t>
      </w:r>
    </w:p>
    <w:p>
      <w:pPr>
        <w:pStyle w:val="Normal"/>
        <w:rPr/>
      </w:pPr>
      <w:r>
        <w:rPr/>
        <w:t>Correct checklist identity is found and the approved address verification line is restored with an inspectable recovery log.</w:t>
      </w:r>
    </w:p>
    <w:p>
      <w:pPr>
        <w:pStyle w:val="Normal"/>
        <w:rPr/>
      </w:pPr>
      <w:r>
        <w:rPr/>
        <w:t>Method: explain mechanism and contract; inspect worked artifact; compare fault/control evidence; complete activity procedure; verify with exact output or intended identity.</w:t>
      </w:r>
    </w:p>
    <w:p>
      <w:pPr>
        <w:pStyle w:val="Normal"/>
        <w:rPr/>
      </w:pPr>
      <w:r>
        <w:rPr/>
        <w:t>Additional mechanism/chart slides: None. Teach during the block’s demo/review allocation.</w:t>
      </w:r>
    </w:p>
    <w:p>
      <w:pPr>
        <w:pStyle w:val="Normal"/>
        <w:rPr/>
      </w:pPr>
      <w:r>
        <w:rPr/>
        <w:t>Resources: Drive, Docs; activities/activity-05-search-recovery-and-version-diagnosis/</w:t>
      </w:r>
    </w:p>
    <w:p>
      <w:pPr>
        <w:pStyle w:val="Normal"/>
        <w:rPr/>
      </w:pPr>
      <w:r>
        <w:rPr/>
        <w:t>Facilitator check: Test known URL and invited identity</w:t>
      </w:r>
    </w:p>
    <w:p>
      <w:pPr>
        <w:pStyle w:val="Heading1"/>
        <w:rPr/>
      </w:pPr>
      <w:bookmarkStart w:id="9" w:name="__RefHeading___Toc10036_4150310382"/>
      <w:bookmarkEnd w:id="9"/>
      <w:r>
        <w:rPr/>
        <w:t>Content assets and customer web properties</w:t>
      </w:r>
    </w:p>
    <w:p>
      <w:pPr>
        <w:pStyle w:val="Normal"/>
        <w:rPr/>
      </w:pPr>
      <w:r>
        <w:rPr/>
        <w:t xml:space="preserve">Divider slide 56; teaching range 56–200; LO2</w:t>
      </w:r>
    </w:p>
    <w:p>
      <w:pPr>
        <w:pStyle w:val="Heading2"/>
        <w:rPr/>
      </w:pPr>
      <w:bookmarkStart w:id="10" w:name="__RefHeading___Toc10038_4150310382"/>
      <w:bookmarkEnd w:id="10"/>
      <w:r>
        <w:rPr/>
        <w:t xml:space="preserve">Activity 6 Docs structure and collaborative review Slide 65</w:t>
      </w:r>
    </w:p>
    <w:p>
      <w:pPr>
        <w:pStyle w:val="Normal"/>
        <w:rPr/>
      </w:pPr>
      <w:r>
        <w:rPr/>
        <w:t xml:space="preserve">25 minutes; slides 57–65</w:t>
      </w:r>
    </w:p>
    <w:p>
      <w:pPr>
        <w:pStyle w:val="Normal"/>
        <w:rPr/>
      </w:pPr>
      <w:r>
        <w:rPr/>
        <w:t>Heading outline works; supported 14-day return correction is accepted, unsupported change rejected, and approved version evidence is saved.</w:t>
      </w:r>
    </w:p>
    <w:p>
      <w:pPr>
        <w:pStyle w:val="Normal"/>
        <w:rPr/>
      </w:pPr>
      <w:r>
        <w:rPr/>
        <w:t>Method: explain mechanism and contract; inspect worked artifact; compare fault/control evidence; complete activity procedure; verify with exact output or intended identity.</w:t>
      </w:r>
    </w:p>
    <w:p>
      <w:pPr>
        <w:pStyle w:val="Normal"/>
        <w:rPr/>
      </w:pPr>
      <w:r>
        <w:rPr/>
        <w:t>Additional mechanism/chart slides: None. Teach during the block’s demo/review allocation.</w:t>
      </w:r>
    </w:p>
    <w:p>
      <w:pPr>
        <w:pStyle w:val="Normal"/>
        <w:rPr/>
      </w:pPr>
      <w:r>
        <w:rPr/>
        <w:t>Resources: Docs, Drive; activities/activity-06-docs-structure-and-collaborative-review/</w:t>
      </w:r>
    </w:p>
    <w:p>
      <w:pPr>
        <w:pStyle w:val="Normal"/>
        <w:rPr/>
      </w:pPr>
      <w:r>
        <w:rPr/>
        <w:t>Facilitator check: Apply Heading 1/2 to structure</w:t>
      </w:r>
    </w:p>
    <w:p>
      <w:pPr>
        <w:pStyle w:val="Heading2"/>
        <w:rPr/>
      </w:pPr>
      <w:bookmarkStart w:id="11" w:name="__RefHeading___Toc10040_4150310382"/>
      <w:bookmarkEnd w:id="11"/>
      <w:r>
        <w:rPr/>
        <w:t xml:space="preserve">Activity 7 Docs templates and publication readiness Slide 74</w:t>
      </w:r>
    </w:p>
    <w:p>
      <w:pPr>
        <w:pStyle w:val="Normal"/>
        <w:rPr/>
      </w:pPr>
      <w:r>
        <w:rPr/>
        <w:t xml:space="preserve">20 minutes; slides 66–74</w:t>
      </w:r>
    </w:p>
    <w:p>
      <w:pPr>
        <w:pStyle w:val="Normal"/>
        <w:rPr/>
      </w:pPr>
      <w:r>
        <w:rPr/>
        <w:t>Brochure has no template placeholders or internal cost, accurate product facts, a tested descriptive link, and a readable approved PDF.</w:t>
      </w:r>
    </w:p>
    <w:p>
      <w:pPr>
        <w:pStyle w:val="Normal"/>
        <w:rPr/>
      </w:pPr>
      <w:r>
        <w:rPr/>
        <w:t>Method: explain mechanism and contract; inspect worked artifact; compare fault/control evidence; complete activity procedure; verify with exact output or intended identity.</w:t>
      </w:r>
    </w:p>
    <w:p>
      <w:pPr>
        <w:pStyle w:val="Normal"/>
        <w:rPr/>
      </w:pPr>
      <w:r>
        <w:rPr/>
        <w:t>Additional mechanism/chart slides: None. Teach during the block’s demo/review allocation.</w:t>
      </w:r>
    </w:p>
    <w:p>
      <w:pPr>
        <w:pStyle w:val="Normal"/>
        <w:rPr/>
      </w:pPr>
      <w:r>
        <w:rPr/>
        <w:t>Resources: Docs, Drive; activities/activity-07-docs-templates-and-publication-readiness/</w:t>
      </w:r>
    </w:p>
    <w:p>
      <w:pPr>
        <w:pStyle w:val="Normal"/>
        <w:rPr/>
      </w:pPr>
      <w:r>
        <w:rPr/>
        <w:t>Facilitator check: Search for double-brace markers</w:t>
      </w:r>
    </w:p>
    <w:p>
      <w:pPr>
        <w:pStyle w:val="Heading2"/>
        <w:rPr/>
      </w:pPr>
      <w:bookmarkStart w:id="12" w:name="__RefHeading___Toc10042_4150310382"/>
      <w:bookmarkEnd w:id="12"/>
      <w:r>
        <w:rPr/>
        <w:t xml:space="preserve">Activity 8 Sheets import schema and data validation Slide 83</w:t>
      </w:r>
    </w:p>
    <w:p>
      <w:pPr>
        <w:pStyle w:val="Normal"/>
        <w:rPr/>
      </w:pPr>
      <w:r>
        <w:rPr/>
        <w:t xml:space="preserve">25 minutes; slides 75–83</w:t>
      </w:r>
    </w:p>
    <w:p>
      <w:pPr>
        <w:pStyle w:val="Normal"/>
        <w:rPr/>
      </w:pPr>
      <w:r>
        <w:rPr/>
        <w:t>Clean sheet contains 12 unique enquiries, valid stages and numeric amounts; duplicate/type decisions and invalid-input rejection are evidenced.</w:t>
      </w:r>
    </w:p>
    <w:p>
      <w:pPr>
        <w:pStyle w:val="Normal"/>
        <w:rPr/>
      </w:pPr>
      <w:r>
        <w:rPr/>
        <w:t>Method: explain mechanism and contract; inspect worked artifact; compare fault/control evidence; complete activity procedure; verify with exact output or intended identity.</w:t>
      </w:r>
    </w:p>
    <w:p>
      <w:pPr>
        <w:pStyle w:val="Normal"/>
        <w:rPr/>
      </w:pPr>
      <w:r>
        <w:rPr/>
        <w:t>Additional mechanism/chart slides: None. Teach during the block’s demo/review allocation.</w:t>
      </w:r>
    </w:p>
    <w:p>
      <w:pPr>
        <w:pStyle w:val="Normal"/>
        <w:rPr/>
      </w:pPr>
      <w:r>
        <w:rPr/>
        <w:t>Resources: Sheets; activities/activity-08-sheets-import-schema-and-data-validation/</w:t>
      </w:r>
    </w:p>
    <w:p>
      <w:pPr>
        <w:pStyle w:val="Normal"/>
        <w:rPr/>
      </w:pPr>
      <w:r>
        <w:rPr/>
        <w:t>Facilitator check: Test ISNUMBER; correct source/import</w:t>
      </w:r>
    </w:p>
    <w:p>
      <w:pPr>
        <w:pStyle w:val="Heading2"/>
        <w:rPr/>
      </w:pPr>
      <w:bookmarkStart w:id="13" w:name="__RefHeading___Toc10044_4150310382"/>
      <w:bookmarkEnd w:id="13"/>
      <w:r>
        <w:rPr/>
        <w:t xml:space="preserve">Activity 9 Sheets formulas and operational checks Slide 92</w:t>
      </w:r>
    </w:p>
    <w:p>
      <w:pPr>
        <w:pStyle w:val="Normal"/>
        <w:rPr/>
      </w:pPr>
      <w:r>
        <w:rPr/>
        <w:t xml:space="preserve">25 minutes; slides 84–92</w:t>
      </w:r>
    </w:p>
    <w:p>
      <w:pPr>
        <w:pStyle w:val="Normal"/>
        <w:rPr/>
      </w:pPr>
      <w:r>
        <w:rPr/>
        <w:t>Total 12, Won 3, Won revenue SGD 960, conversion 25%, average won SGD 320 all match hand calculation and report labels identify the cohort.</w:t>
      </w:r>
    </w:p>
    <w:p>
      <w:pPr>
        <w:pStyle w:val="Normal"/>
        <w:rPr/>
      </w:pPr>
      <w:r>
        <w:rPr/>
        <w:t>Method: explain mechanism and contract; inspect worked artifact; compare fault/control evidence; complete activity procedure; verify with exact output or intended identity.</w:t>
      </w:r>
    </w:p>
    <w:p>
      <w:pPr>
        <w:pStyle w:val="Normal"/>
        <w:rPr/>
      </w:pPr>
      <w:r>
        <w:rPr/>
        <w:t xml:space="preserve">Additional mechanism/chart slides: 246,247,248,249,250,253. Teach during the block’s demo/review allocation.</w:t>
      </w:r>
    </w:p>
    <w:p>
      <w:pPr>
        <w:pStyle w:val="Normal"/>
        <w:rPr/>
      </w:pPr>
      <w:r>
        <w:rPr/>
        <w:t>Resources: Sheets; activities/activity-09-sheets-formulas-and-operational-checks/</w:t>
      </w:r>
    </w:p>
    <w:p>
      <w:pPr>
        <w:pStyle w:val="Normal"/>
        <w:rPr/>
      </w:pPr>
      <w:r>
        <w:rPr/>
        <w:t>Facilitator check: Align row 2:13 on both ranges</w:t>
      </w:r>
    </w:p>
    <w:p>
      <w:pPr>
        <w:pStyle w:val="Heading2"/>
        <w:rPr/>
      </w:pPr>
      <w:bookmarkStart w:id="14" w:name="__RefHeading___Toc10046_4150310382"/>
      <w:bookmarkEnd w:id="14"/>
      <w:r>
        <w:rPr/>
        <w:t xml:space="preserve">Activity 10 Filter views pivots and editable charts Slide 101</w:t>
      </w:r>
    </w:p>
    <w:p>
      <w:pPr>
        <w:pStyle w:val="Normal"/>
        <w:rPr/>
      </w:pPr>
      <w:r>
        <w:rPr/>
        <w:t xml:space="preserve">25 minutes; slides 93–101</w:t>
      </w:r>
    </w:p>
    <w:p>
      <w:pPr>
        <w:pStyle w:val="Normal"/>
        <w:rPr/>
      </w:pPr>
      <w:r>
        <w:rPr/>
        <w:t>Filter view does not disrupt peer view; pivot counts 4/3/3/2 total 12; chart is editable and correctly labels enquiry counts.</w:t>
      </w:r>
    </w:p>
    <w:p>
      <w:pPr>
        <w:pStyle w:val="Normal"/>
        <w:rPr/>
      </w:pPr>
      <w:r>
        <w:rPr/>
        <w:t>Method: explain mechanism and contract; inspect worked artifact; compare fault/control evidence; complete activity procedure; verify with exact output or intended identity.</w:t>
      </w:r>
    </w:p>
    <w:p>
      <w:pPr>
        <w:pStyle w:val="Normal"/>
        <w:rPr/>
      </w:pPr>
      <w:r>
        <w:rPr/>
        <w:t xml:space="preserve">Additional mechanism/chart slides: 251,252. Teach during the block’s demo/review allocation.</w:t>
      </w:r>
    </w:p>
    <w:p>
      <w:pPr>
        <w:pStyle w:val="Normal"/>
        <w:rPr/>
      </w:pPr>
      <w:r>
        <w:rPr/>
        <w:t>Resources: Sheets; activities/activity-10-filter-views-pivots-and-editable-charts/</w:t>
      </w:r>
    </w:p>
    <w:p>
      <w:pPr>
        <w:pStyle w:val="Normal"/>
        <w:rPr/>
      </w:pPr>
      <w:r>
        <w:rPr/>
        <w:t>Facilitator check: Use a filter view instead</w:t>
      </w:r>
    </w:p>
    <w:p>
      <w:pPr>
        <w:pStyle w:val="Heading2"/>
        <w:rPr/>
      </w:pPr>
      <w:bookmarkStart w:id="15" w:name="__RefHeading___Toc10048_4150310382"/>
      <w:bookmarkEnd w:id="15"/>
      <w:r>
        <w:rPr/>
        <w:t xml:space="preserve">Activity 11 Slides assets and customer presentation Slide 110</w:t>
      </w:r>
    </w:p>
    <w:p>
      <w:pPr>
        <w:pStyle w:val="Normal"/>
        <w:rPr/>
      </w:pPr>
      <w:r>
        <w:rPr/>
        <w:t xml:space="preserve">20 minutes; slides 102–110</w:t>
      </w:r>
    </w:p>
    <w:p>
      <w:pPr>
        <w:pStyle w:val="Normal"/>
        <w:rPr/>
      </w:pPr>
      <w:r>
        <w:rPr/>
        <w:t>Three customer slides use approved facts, clear visual hierarchy and synthetic-data chart label; private cost details are absent and viewer access is verified.</w:t>
      </w:r>
    </w:p>
    <w:p>
      <w:pPr>
        <w:pStyle w:val="Normal"/>
        <w:rPr/>
      </w:pPr>
      <w:r>
        <w:rPr/>
        <w:t>Method: explain mechanism and contract; inspect worked artifact; compare fault/control evidence; complete activity procedure; verify with exact output or intended identity.</w:t>
      </w:r>
    </w:p>
    <w:p>
      <w:pPr>
        <w:pStyle w:val="Normal"/>
        <w:rPr/>
      </w:pPr>
      <w:r>
        <w:rPr/>
        <w:t>Additional mechanism/chart slides: None. Teach during the block’s demo/review allocation.</w:t>
      </w:r>
    </w:p>
    <w:p>
      <w:pPr>
        <w:pStyle w:val="Normal"/>
        <w:rPr/>
      </w:pPr>
      <w:r>
        <w:rPr/>
        <w:t>Resources: Slides, Sheets, Drive; activities/activity-11-slides-assets-and-customer-presentation/</w:t>
      </w:r>
    </w:p>
    <w:p>
      <w:pPr>
        <w:pStyle w:val="Normal"/>
        <w:rPr/>
      </w:pPr>
      <w:r>
        <w:rPr/>
        <w:t>Facilitator check: Review current data and refresh deliberately</w:t>
      </w:r>
    </w:p>
    <w:p>
      <w:pPr>
        <w:pStyle w:val="Heading2"/>
        <w:rPr/>
      </w:pPr>
      <w:bookmarkStart w:id="16" w:name="__RefHeading___Toc10050_4150310382"/>
      <w:bookmarkEnd w:id="16"/>
      <w:r>
        <w:rPr/>
        <w:t xml:space="preserve">Activity 12 Forms publication consent and response schema Slide 119</w:t>
      </w:r>
    </w:p>
    <w:p>
      <w:pPr>
        <w:pStyle w:val="Normal"/>
        <w:rPr/>
      </w:pPr>
      <w:r>
        <w:rPr/>
        <w:t xml:space="preserve">25 minutes; slides 111–119</w:t>
      </w:r>
    </w:p>
    <w:p>
      <w:pPr>
        <w:pStyle w:val="Normal"/>
        <w:rPr/>
      </w:pPr>
      <w:r>
        <w:rPr/>
        <w:t>Published responder link works; consent is required; private results summary is off; response sheet stays restricted and synthetic response is correctly captured.</w:t>
      </w:r>
    </w:p>
    <w:p>
      <w:pPr>
        <w:pStyle w:val="Normal"/>
        <w:rPr/>
      </w:pPr>
      <w:r>
        <w:rPr/>
        <w:t>Method: explain mechanism and contract; inspect worked artifact; compare fault/control evidence; complete activity procedure; verify with exact output or intended identity.</w:t>
      </w:r>
    </w:p>
    <w:p>
      <w:pPr>
        <w:pStyle w:val="Normal"/>
        <w:rPr/>
      </w:pPr>
      <w:r>
        <w:rPr/>
        <w:t>Additional mechanism/chart slides: None. Teach during the block’s demo/review allocation.</w:t>
      </w:r>
    </w:p>
    <w:p>
      <w:pPr>
        <w:pStyle w:val="Normal"/>
        <w:rPr/>
      </w:pPr>
      <w:r>
        <w:rPr/>
        <w:t>Resources: Forms, Sheets; activities/activity-12-forms-publication-consent-and-response-schema/</w:t>
      </w:r>
    </w:p>
    <w:p>
      <w:pPr>
        <w:pStyle w:val="Normal"/>
        <w:rPr/>
      </w:pPr>
      <w:r>
        <w:rPr/>
        <w:t>Facilitator check: Publish to authorised training responders</w:t>
      </w:r>
    </w:p>
    <w:p>
      <w:pPr>
        <w:pStyle w:val="Heading2"/>
        <w:rPr/>
      </w:pPr>
      <w:bookmarkStart w:id="17" w:name="__RefHeading___Toc10052_4150310382"/>
      <w:bookmarkEnd w:id="17"/>
      <w:r>
        <w:rPr/>
        <w:t xml:space="preserve">Activity 13 Forms validation and customer feedback analysis Slide 128</w:t>
      </w:r>
    </w:p>
    <w:p>
      <w:pPr>
        <w:pStyle w:val="Normal"/>
        <w:rPr/>
      </w:pPr>
      <w:r>
        <w:rPr/>
        <w:t xml:space="preserve">25 minutes; slides 120–128</w:t>
      </w:r>
    </w:p>
    <w:p>
      <w:pPr>
        <w:pStyle w:val="Normal"/>
        <w:rPr/>
      </w:pPr>
      <w:r>
        <w:rPr/>
        <w:t>Validated 10-response sample has mean 3.6/5 and 6/10 positive ratings; report labels synthetic scope and proposes a measurable website improvement.</w:t>
      </w:r>
    </w:p>
    <w:p>
      <w:pPr>
        <w:pStyle w:val="Normal"/>
        <w:rPr/>
      </w:pPr>
      <w:r>
        <w:rPr/>
        <w:t>Method: explain mechanism and contract; inspect worked artifact; compare fault/control evidence; complete activity procedure; verify with exact output or intended identity.</w:t>
      </w:r>
    </w:p>
    <w:p>
      <w:pPr>
        <w:pStyle w:val="Normal"/>
        <w:rPr/>
      </w:pPr>
      <w:r>
        <w:rPr/>
        <w:t xml:space="preserve">Additional mechanism/chart slides: 254. Teach during the block’s demo/review allocation.</w:t>
      </w:r>
    </w:p>
    <w:p>
      <w:pPr>
        <w:pStyle w:val="Normal"/>
        <w:rPr/>
      </w:pPr>
      <w:r>
        <w:rPr/>
        <w:t>Resources: Forms, Sheets; activities/activity-13-forms-validation-and-customer-feedback-analysis/</w:t>
      </w:r>
    </w:p>
    <w:p>
      <w:pPr>
        <w:pStyle w:val="Normal"/>
        <w:rPr/>
      </w:pPr>
      <w:r>
        <w:rPr/>
        <w:t>Facilitator check: Validate 1..5 and quarantine invalid rows</w:t>
      </w:r>
    </w:p>
    <w:p>
      <w:pPr>
        <w:pStyle w:val="Heading2"/>
        <w:rPr/>
      </w:pPr>
      <w:bookmarkStart w:id="18" w:name="__RefHeading___Toc10054_4150310382"/>
      <w:bookmarkEnd w:id="18"/>
      <w:r>
        <w:rPr/>
        <w:t xml:space="preserve">Activity 14 Gmail routing labels and search controls Slide 137</w:t>
      </w:r>
    </w:p>
    <w:p>
      <w:pPr>
        <w:pStyle w:val="Normal"/>
        <w:rPr/>
      </w:pPr>
      <w:r>
        <w:rPr/>
        <w:t xml:space="preserve">20 minutes; slides 129–137</w:t>
      </w:r>
    </w:p>
    <w:p>
      <w:pPr>
        <w:pStyle w:val="Normal"/>
        <w:rPr/>
      </w:pPr>
      <w:r>
        <w:rPr/>
        <w:t>Positive and negative message tests match the declared criteria; action is label only and the report distinguishes reply criteria from conversation grouping.</w:t>
      </w:r>
    </w:p>
    <w:p>
      <w:pPr>
        <w:pStyle w:val="Normal"/>
        <w:rPr/>
      </w:pPr>
      <w:r>
        <w:rPr/>
        <w:t>Method: explain mechanism and contract; inspect worked artifact; compare fault/control evidence; complete activity procedure; verify with exact output or intended identity.</w:t>
      </w:r>
    </w:p>
    <w:p>
      <w:pPr>
        <w:pStyle w:val="Normal"/>
        <w:rPr/>
      </w:pPr>
      <w:r>
        <w:rPr/>
        <w:t>Additional mechanism/chart slides: None. Teach during the block’s demo/review allocation.</w:t>
      </w:r>
    </w:p>
    <w:p>
      <w:pPr>
        <w:pStyle w:val="Normal"/>
        <w:rPr/>
      </w:pPr>
      <w:r>
        <w:rPr/>
        <w:t>Resources: Gmail; activities/activity-14-gmail-routing-labels-and-search-controls/</w:t>
      </w:r>
    </w:p>
    <w:p>
      <w:pPr>
        <w:pStyle w:val="Normal"/>
        <w:rPr/>
      </w:pPr>
      <w:r>
        <w:rPr/>
        <w:t>Facilitator check: Preview and narrow subject/sender</w:t>
      </w:r>
    </w:p>
    <w:p>
      <w:pPr>
        <w:pStyle w:val="Heading2"/>
        <w:rPr/>
      </w:pPr>
      <w:bookmarkStart w:id="19" w:name="__RefHeading___Toc10056_4150310382"/>
      <w:bookmarkEnd w:id="19"/>
      <w:r>
        <w:rPr/>
        <w:t xml:space="preserve">Activity 15 Gmail delegation and customer response governance Slide 146</w:t>
      </w:r>
    </w:p>
    <w:p>
      <w:pPr>
        <w:pStyle w:val="Normal"/>
        <w:rPr/>
      </w:pPr>
      <w:r>
        <w:rPr/>
        <w:t xml:space="preserve">20 minutes; slides 138–146</w:t>
      </w:r>
    </w:p>
    <w:p>
      <w:pPr>
        <w:pStyle w:val="Normal"/>
        <w:rPr/>
      </w:pPr>
      <w:r>
        <w:rPr/>
        <w:t>Access design distinguishes mailbox account from alias, documents delegate scope and revocation, and produces a fact-checked customer response without shared credentials.</w:t>
      </w:r>
    </w:p>
    <w:p>
      <w:pPr>
        <w:pStyle w:val="Normal"/>
        <w:rPr/>
      </w:pPr>
      <w:r>
        <w:rPr/>
        <w:t>Method: explain mechanism and contract; inspect worked artifact; compare fault/control evidence; complete activity procedure; verify with exact output or intended identity.</w:t>
      </w:r>
    </w:p>
    <w:p>
      <w:pPr>
        <w:pStyle w:val="Normal"/>
        <w:rPr/>
      </w:pPr>
      <w:r>
        <w:rPr/>
        <w:t>Additional mechanism/chart slides: None. Teach during the block’s demo/review allocation.</w:t>
      </w:r>
    </w:p>
    <w:p>
      <w:pPr>
        <w:pStyle w:val="Normal"/>
        <w:rPr/>
      </w:pPr>
      <w:r>
        <w:rPr/>
        <w:t>Resources: Gmail; delegation demonstration; activities/activity-15-gmail-delegation-and-customer-response-governance/</w:t>
      </w:r>
    </w:p>
    <w:p>
      <w:pPr>
        <w:pStyle w:val="Normal"/>
        <w:rPr/>
      </w:pPr>
      <w:r>
        <w:rPr/>
        <w:t>Facilitator check: Use correct mailbox architecture</w:t>
      </w:r>
    </w:p>
    <w:p>
      <w:pPr>
        <w:pStyle w:val="Heading2"/>
        <w:rPr/>
      </w:pPr>
      <w:bookmarkStart w:id="20" w:name="__RefHeading___Toc10058_4150310382"/>
      <w:bookmarkEnd w:id="20"/>
      <w:r>
        <w:rPr/>
        <w:t xml:space="preserve">Activity 16 Calendar availability and booking boundaries Slide 155</w:t>
      </w:r>
    </w:p>
    <w:p>
      <w:pPr>
        <w:pStyle w:val="Normal"/>
        <w:rPr/>
      </w:pPr>
      <w:r>
        <w:rPr/>
        <w:t xml:space="preserve">20 minutes; slides 147–155</w:t>
      </w:r>
    </w:p>
    <w:p>
      <w:pPr>
        <w:pStyle w:val="Normal"/>
        <w:rPr/>
      </w:pPr>
      <w:r>
        <w:rPr/>
        <w:t>Booking route: timezone is correct, configured busy slot is excluded and a test booking creates an event. Standard-event fallback: invitation displays the same Singapore/UTC instant and intended audience; booking checks are explicitly Not executed.</w:t>
      </w:r>
    </w:p>
    <w:p>
      <w:pPr>
        <w:pStyle w:val="Normal"/>
        <w:rPr/>
      </w:pPr>
      <w:r>
        <w:rPr/>
        <w:t>Method: explain mechanism and contract; inspect worked artifact; compare fault/control evidence; complete activity procedure; verify with exact output or intended identity.</w:t>
      </w:r>
    </w:p>
    <w:p>
      <w:pPr>
        <w:pStyle w:val="Normal"/>
        <w:rPr/>
      </w:pPr>
      <w:r>
        <w:rPr/>
        <w:t>Additional mechanism/chart slides: None. Teach during the block’s demo/review allocation.</w:t>
      </w:r>
    </w:p>
    <w:p>
      <w:pPr>
        <w:pStyle w:val="Normal"/>
        <w:rPr/>
      </w:pPr>
      <w:r>
        <w:rPr/>
        <w:t>Resources: Calendar; activities/activity-16-calendar-availability-and-booking-boundaries/</w:t>
      </w:r>
    </w:p>
    <w:p>
      <w:pPr>
        <w:pStyle w:val="Normal"/>
        <w:rPr/>
      </w:pPr>
      <w:r>
        <w:rPr/>
        <w:t>Facilitator check: Review conflict-calendar selection</w:t>
      </w:r>
    </w:p>
    <w:p>
      <w:pPr>
        <w:pStyle w:val="Heading2"/>
        <w:rPr/>
      </w:pPr>
      <w:bookmarkStart w:id="21" w:name="__RefHeading___Toc10060_4150310382"/>
      <w:bookmarkEnd w:id="21"/>
      <w:r>
        <w:rPr/>
        <w:t xml:space="preserve">Activity 17 Meet collaboration and recording controls Slide 164</w:t>
      </w:r>
    </w:p>
    <w:p>
      <w:pPr>
        <w:pStyle w:val="Normal"/>
        <w:rPr/>
      </w:pPr>
      <w:r>
        <w:rPr/>
        <w:t xml:space="preserve">20 minutes; slides 156–164</w:t>
      </w:r>
    </w:p>
    <w:p>
      <w:pPr>
        <w:pStyle w:val="Normal"/>
        <w:rPr/>
      </w:pPr>
      <w:r>
        <w:rPr/>
        <w:t>Approved tab only is shared, written decision and two owned actions persist, and recording limitations/privacy controls are accurately documented.</w:t>
      </w:r>
    </w:p>
    <w:p>
      <w:pPr>
        <w:pStyle w:val="Normal"/>
        <w:rPr/>
      </w:pPr>
      <w:r>
        <w:rPr/>
        <w:t>Method: explain mechanism and contract; inspect worked artifact; compare fault/control evidence; complete activity procedure; verify with exact output or intended identity.</w:t>
      </w:r>
    </w:p>
    <w:p>
      <w:pPr>
        <w:pStyle w:val="Normal"/>
        <w:rPr/>
      </w:pPr>
      <w:r>
        <w:rPr/>
        <w:t xml:space="preserve">Additional mechanism/chart slides: 245. Teach during the block’s demo/review allocation.</w:t>
      </w:r>
    </w:p>
    <w:p>
      <w:pPr>
        <w:pStyle w:val="Normal"/>
        <w:rPr/>
      </w:pPr>
      <w:r>
        <w:rPr/>
        <w:t>Resources: Meet, Calendar, Drive; activities/activity-17-meet-collaboration-and-recording-controls/</w:t>
      </w:r>
    </w:p>
    <w:p>
      <w:pPr>
        <w:pStyle w:val="Normal"/>
        <w:rPr/>
      </w:pPr>
      <w:r>
        <w:rPr/>
        <w:t>Facilitator check: Use written record; note limitation</w:t>
      </w:r>
    </w:p>
    <w:p>
      <w:pPr>
        <w:pStyle w:val="Heading2"/>
        <w:rPr/>
      </w:pPr>
      <w:bookmarkStart w:id="22" w:name="__RefHeading___Toc10062_4150310382"/>
      <w:bookmarkEnd w:id="22"/>
      <w:r>
        <w:rPr/>
        <w:t xml:space="preserve">Activity 18 Chat spaces tasks and whiteboarding replacement Slide 173</w:t>
      </w:r>
    </w:p>
    <w:p>
      <w:pPr>
        <w:pStyle w:val="Normal"/>
        <w:rPr/>
      </w:pPr>
      <w:r>
        <w:rPr/>
        <w:t xml:space="preserve">20 minutes; slides 165–173</w:t>
      </w:r>
    </w:p>
    <w:p>
      <w:pPr>
        <w:pStyle w:val="Normal"/>
        <w:rPr/>
      </w:pPr>
      <w:r>
        <w:rPr/>
        <w:t>Persistent discussion or documented fallback, owned task and three measurable ideas exist; no instructions depend on retired Jamboard.</w:t>
      </w:r>
    </w:p>
    <w:p>
      <w:pPr>
        <w:pStyle w:val="Normal"/>
        <w:rPr/>
      </w:pPr>
      <w:r>
        <w:rPr/>
        <w:t>Method: explain mechanism and contract; inspect worked artifact; compare fault/control evidence; complete activity procedure; verify with exact output or intended identity.</w:t>
      </w:r>
    </w:p>
    <w:p>
      <w:pPr>
        <w:pStyle w:val="Normal"/>
        <w:rPr/>
      </w:pPr>
      <w:r>
        <w:rPr/>
        <w:t xml:space="preserve">Additional mechanism/chart slides: 244. Teach during the block’s demo/review allocation.</w:t>
      </w:r>
    </w:p>
    <w:p>
      <w:pPr>
        <w:pStyle w:val="Normal"/>
        <w:rPr/>
      </w:pPr>
      <w:r>
        <w:rPr/>
        <w:t>Resources: Chat, Slides, Tasks if available; activities/activity-18-chat-spaces-tasks-and-whiteboarding-replacement/</w:t>
      </w:r>
    </w:p>
    <w:p>
      <w:pPr>
        <w:pStyle w:val="Normal"/>
        <w:rPr/>
      </w:pPr>
      <w:r>
        <w:rPr/>
        <w:t>Facilitator check: Share approved asset to intended members</w:t>
      </w:r>
    </w:p>
    <w:p>
      <w:pPr>
        <w:pStyle w:val="Heading2"/>
        <w:rPr/>
      </w:pPr>
      <w:bookmarkStart w:id="23" w:name="__RefHeading___Toc10064_4150310382"/>
      <w:bookmarkEnd w:id="23"/>
      <w:r>
        <w:rPr/>
        <w:t xml:space="preserve">Activity 19 Sites architecture navigation and draft content Slide 182</w:t>
      </w:r>
    </w:p>
    <w:p>
      <w:pPr>
        <w:pStyle w:val="Normal"/>
        <w:rPr/>
      </w:pPr>
      <w:r>
        <w:rPr/>
        <w:t xml:space="preserve">30 minutes; slides 174–182</w:t>
      </w:r>
    </w:p>
    <w:p>
      <w:pPr>
        <w:pStyle w:val="Normal"/>
        <w:rPr/>
      </w:pPr>
      <w:r>
        <w:rPr/>
        <w:t>Four task-oriented pages with approved facts and a documented independent embed ACL exist; delivery terms are discoverable within 2 clicks in the test.</w:t>
      </w:r>
    </w:p>
    <w:p>
      <w:pPr>
        <w:pStyle w:val="Normal"/>
        <w:rPr/>
      </w:pPr>
      <w:r>
        <w:rPr/>
        <w:t>Method: explain mechanism and contract; inspect worked artifact; compare fault/control evidence; complete activity procedure; verify with exact output or intended identity.</w:t>
      </w:r>
    </w:p>
    <w:p>
      <w:pPr>
        <w:pStyle w:val="Normal"/>
        <w:rPr/>
      </w:pPr>
      <w:r>
        <w:rPr/>
        <w:t>Additional mechanism/chart slides: None. Teach during the block’s demo/review allocation.</w:t>
      </w:r>
    </w:p>
    <w:p>
      <w:pPr>
        <w:pStyle w:val="Normal"/>
        <w:rPr/>
      </w:pPr>
      <w:r>
        <w:rPr/>
        <w:t>Resources: Sites, Docs, Drive; activities/activity-19-sites-architecture-navigation-and-draft-content/</w:t>
      </w:r>
    </w:p>
    <w:p>
      <w:pPr>
        <w:pStyle w:val="Normal"/>
        <w:rPr/>
      </w:pPr>
      <w:r>
        <w:rPr/>
        <w:t>Facilitator check: Share approved release file appropriately</w:t>
      </w:r>
    </w:p>
    <w:p>
      <w:pPr>
        <w:pStyle w:val="Heading2"/>
        <w:rPr/>
      </w:pPr>
      <w:bookmarkStart w:id="24" w:name="__RefHeading___Toc10066_4150310382"/>
      <w:bookmarkEnd w:id="24"/>
      <w:r>
        <w:rPr/>
        <w:t xml:space="preserve">Activity 20 Sites publishing embed access and maintenance Slide 191</w:t>
      </w:r>
    </w:p>
    <w:p>
      <w:pPr>
        <w:pStyle w:val="Normal"/>
        <w:rPr/>
      </w:pPr>
      <w:r>
        <w:rPr/>
        <w:t xml:space="preserve">30 minutes; slides 183–191</w:t>
      </w:r>
    </w:p>
    <w:p>
      <w:pPr>
        <w:pStyle w:val="Normal"/>
        <w:rPr/>
      </w:pPr>
      <w:r>
        <w:rPr/>
        <w:t>Exact published site, brochure and form work for intended viewer; response sheet denies unauthorised access and maintenance checklist has resolved findings.</w:t>
      </w:r>
    </w:p>
    <w:p>
      <w:pPr>
        <w:pStyle w:val="Normal"/>
        <w:rPr/>
      </w:pPr>
      <w:r>
        <w:rPr/>
        <w:t>Method: explain mechanism and contract; inspect worked artifact; compare fault/control evidence; complete activity procedure; verify with exact output or intended identity.</w:t>
      </w:r>
    </w:p>
    <w:p>
      <w:pPr>
        <w:pStyle w:val="Normal"/>
        <w:rPr/>
      </w:pPr>
      <w:r>
        <w:rPr/>
        <w:t>Additional mechanism/chart slides: None. Teach during the block’s demo/review allocation.</w:t>
      </w:r>
    </w:p>
    <w:p>
      <w:pPr>
        <w:pStyle w:val="Normal"/>
        <w:rPr/>
      </w:pPr>
      <w:r>
        <w:rPr/>
        <w:t>Resources: Sites, Drive, Forms; activities/activity-20-sites-publishing-embed-access-and-maintenance/</w:t>
      </w:r>
    </w:p>
    <w:p>
      <w:pPr>
        <w:pStyle w:val="Normal"/>
        <w:rPr/>
      </w:pPr>
      <w:r>
        <w:rPr/>
        <w:t>Facilitator check: Share approved file with intended audience</w:t>
      </w:r>
    </w:p>
    <w:p>
      <w:pPr>
        <w:pStyle w:val="Heading2"/>
        <w:rPr/>
      </w:pPr>
      <w:bookmarkStart w:id="25" w:name="__RefHeading___Toc10068_4150310382"/>
      <w:bookmarkEnd w:id="25"/>
      <w:r>
        <w:rPr/>
        <w:t xml:space="preserve">Activity 21 CMS market offerings and weighted selection Slide 200</w:t>
      </w:r>
    </w:p>
    <w:p>
      <w:pPr>
        <w:pStyle w:val="Normal"/>
        <w:rPr/>
      </w:pPr>
      <w:r>
        <w:rPr/>
        <w:t xml:space="preserve">25 minutes; slides 192–200</w:t>
      </w:r>
    </w:p>
    <w:p>
      <w:pPr>
        <w:pStyle w:val="Normal"/>
        <w:rPr/>
      </w:pPr>
      <w:r>
        <w:rPr/>
        <w:t>Comparison covers Google Sites plus 2 offerings with dated primary sources, weights 100, correct 3.65/3.90/3.45 scores and a mandatory-constraint decision.</w:t>
      </w:r>
    </w:p>
    <w:p>
      <w:pPr>
        <w:pStyle w:val="Normal"/>
        <w:rPr/>
      </w:pPr>
      <w:r>
        <w:rPr/>
        <w:t>Method: explain mechanism and contract; inspect worked artifact; compare fault/control evidence; complete activity procedure; verify with exact output or intended identity.</w:t>
      </w:r>
    </w:p>
    <w:p>
      <w:pPr>
        <w:pStyle w:val="Normal"/>
        <w:rPr/>
      </w:pPr>
      <w:r>
        <w:rPr/>
        <w:t xml:space="preserve">Additional mechanism/chart slides: 242,243,255. Teach during the block’s demo/review allocation.</w:t>
      </w:r>
    </w:p>
    <w:p>
      <w:pPr>
        <w:pStyle w:val="Normal"/>
        <w:rPr/>
      </w:pPr>
      <w:r>
        <w:rPr/>
        <w:t>Resources: Sheets, browser research; activities/activity-21-cms-market-offerings-and-weighted-selection/</w:t>
      </w:r>
    </w:p>
    <w:p>
      <w:pPr>
        <w:pStyle w:val="Normal"/>
        <w:rPr/>
      </w:pPr>
      <w:r>
        <w:rPr/>
        <w:t>Facilitator check: Normalise weights to 100</w:t>
      </w:r>
    </w:p>
    <w:p>
      <w:pPr>
        <w:pStyle w:val="Heading1"/>
        <w:rPr/>
      </w:pPr>
      <w:bookmarkStart w:id="26" w:name="__RefHeading___Toc10070_4150310382"/>
      <w:bookmarkEnd w:id="26"/>
      <w:r>
        <w:rPr/>
        <w:t>Metrics add-ons and integration decisions</w:t>
      </w:r>
    </w:p>
    <w:p>
      <w:pPr>
        <w:pStyle w:val="Normal"/>
        <w:rPr/>
      </w:pPr>
      <w:r>
        <w:rPr/>
        <w:t xml:space="preserve">Divider slide 201; teaching range 201–237; LO3</w:t>
      </w:r>
    </w:p>
    <w:p>
      <w:pPr>
        <w:pStyle w:val="Heading2"/>
        <w:rPr/>
      </w:pPr>
      <w:bookmarkStart w:id="27" w:name="__RefHeading___Toc10072_4150310382"/>
      <w:bookmarkEnd w:id="27"/>
      <w:r>
        <w:rPr/>
        <w:t xml:space="preserve">Activity 22 Workspace metrics and evidence provenance Slide 210</w:t>
      </w:r>
    </w:p>
    <w:p>
      <w:pPr>
        <w:pStyle w:val="Normal"/>
        <w:rPr/>
      </w:pPr>
      <w:r>
        <w:rPr/>
        <w:t xml:space="preserve">30 minutes; slides 202–210</w:t>
      </w:r>
    </w:p>
    <w:p>
      <w:pPr>
        <w:pStyle w:val="Normal"/>
        <w:rPr/>
      </w:pPr>
      <w:r>
        <w:rPr/>
        <w:t>Report correctly shows 60 view events and 50% defined collaboration across 4 edited docs, with explicit synthetic source, population and limitation notes.</w:t>
      </w:r>
    </w:p>
    <w:p>
      <w:pPr>
        <w:pStyle w:val="Normal"/>
        <w:rPr/>
      </w:pPr>
      <w:r>
        <w:rPr/>
        <w:t>Method: explain mechanism and contract; inspect worked artifact; compare fault/control evidence; complete activity procedure; verify with exact output or intended identity.</w:t>
      </w:r>
    </w:p>
    <w:p>
      <w:pPr>
        <w:pStyle w:val="Normal"/>
        <w:rPr/>
      </w:pPr>
      <w:r>
        <w:rPr/>
        <w:t xml:space="preserve">Additional mechanism/chart slides: 256,257,259. Teach during the block’s demo/review allocation.</w:t>
      </w:r>
    </w:p>
    <w:p>
      <w:pPr>
        <w:pStyle w:val="Normal"/>
        <w:rPr/>
      </w:pPr>
      <w:r>
        <w:rPr/>
        <w:t>Resources: Sheets; Admin reporting demonstration; activities/activity-22-workspace-metrics-and-evidence-provenance/</w:t>
      </w:r>
    </w:p>
    <w:p>
      <w:pPr>
        <w:pStyle w:val="Normal"/>
        <w:rPr/>
      </w:pPr>
      <w:r>
        <w:rPr/>
        <w:t>Facilitator check: Label view events and source population</w:t>
      </w:r>
    </w:p>
    <w:p>
      <w:pPr>
        <w:pStyle w:val="Heading2"/>
        <w:rPr/>
      </w:pPr>
      <w:bookmarkStart w:id="28" w:name="__RefHeading___Toc10074_4150310382"/>
      <w:bookmarkEnd w:id="28"/>
      <w:r>
        <w:rPr/>
        <w:t xml:space="preserve">Activity 23 Visitor journey funnel and improvement tests Slide 219</w:t>
      </w:r>
    </w:p>
    <w:p>
      <w:pPr>
        <w:pStyle w:val="Normal"/>
        <w:rPr/>
      </w:pPr>
      <w:r>
        <w:rPr/>
        <w:t xml:space="preserve">25 minutes; slides 211–219</w:t>
      </w:r>
    </w:p>
    <w:p>
      <w:pPr>
        <w:pStyle w:val="Normal"/>
        <w:rPr/>
      </w:pPr>
      <w:r>
        <w:rPr/>
        <w:t>Funnel and ratios are correct and labelled synthetic; three ideas name friction, owner, measure, threshold and test period.</w:t>
      </w:r>
    </w:p>
    <w:p>
      <w:pPr>
        <w:pStyle w:val="Normal"/>
        <w:rPr/>
      </w:pPr>
      <w:r>
        <w:rPr/>
        <w:t>Method: explain mechanism and contract; inspect worked artifact; compare fault/control evidence; complete activity procedure; verify with exact output or intended identity.</w:t>
      </w:r>
    </w:p>
    <w:p>
      <w:pPr>
        <w:pStyle w:val="Normal"/>
        <w:rPr/>
      </w:pPr>
      <w:r>
        <w:rPr/>
        <w:t xml:space="preserve">Additional mechanism/chart slides: 258. Teach during the block’s demo/review allocation.</w:t>
      </w:r>
    </w:p>
    <w:p>
      <w:pPr>
        <w:pStyle w:val="Normal"/>
        <w:rPr/>
      </w:pPr>
      <w:r>
        <w:rPr/>
        <w:t>Resources: Sheets, Sites; activities/activity-23-visitor-journey-funnel-and-improvement-tests/</w:t>
      </w:r>
    </w:p>
    <w:p>
      <w:pPr>
        <w:pStyle w:val="Normal"/>
        <w:rPr/>
      </w:pPr>
      <w:r>
        <w:rPr/>
        <w:t>Facilitator check: Label each ratio explicitly</w:t>
      </w:r>
    </w:p>
    <w:p>
      <w:pPr>
        <w:pStyle w:val="Heading2"/>
        <w:rPr/>
      </w:pPr>
      <w:bookmarkStart w:id="29" w:name="__RefHeading___Toc10076_4150310382"/>
      <w:bookmarkEnd w:id="29"/>
      <w:r>
        <w:rPr/>
        <w:t xml:space="preserve">Activity 24 Add-on selection scopes and administrator controls Slide 228</w:t>
      </w:r>
    </w:p>
    <w:p>
      <w:pPr>
        <w:pStyle w:val="Normal"/>
        <w:rPr/>
      </w:pPr>
      <w:r>
        <w:rPr/>
        <w:t xml:space="preserve">25 minutes; slides 220–228</w:t>
      </w:r>
    </w:p>
    <w:p>
      <w:pPr>
        <w:pStyle w:val="Normal"/>
        <w:rPr/>
      </w:pPr>
      <w:r>
        <w:rPr/>
        <w:t>One current add-on is evaluated with actual dated listing/access evidence, fit and data handling, administrator approval route, pilot checks and revocation/exit plan.</w:t>
      </w:r>
    </w:p>
    <w:p>
      <w:pPr>
        <w:pStyle w:val="Normal"/>
        <w:rPr/>
      </w:pPr>
      <w:r>
        <w:rPr/>
        <w:t>Method: explain mechanism and contract; inspect worked artifact; compare fault/control evidence; complete activity procedure; verify with exact output or intended identity.</w:t>
      </w:r>
    </w:p>
    <w:p>
      <w:pPr>
        <w:pStyle w:val="Normal"/>
        <w:rPr/>
      </w:pPr>
      <w:r>
        <w:rPr/>
        <w:t>Additional mechanism/chart slides: None. Teach during the block’s demo/review allocation.</w:t>
      </w:r>
    </w:p>
    <w:p>
      <w:pPr>
        <w:pStyle w:val="Normal"/>
        <w:rPr/>
      </w:pPr>
      <w:r>
        <w:rPr/>
        <w:t>Resources: Marketplace, Sheets; administrator review; activities/activity-24-add-on-selection-scopes-and-administrator-controls/</w:t>
      </w:r>
    </w:p>
    <w:p>
      <w:pPr>
        <w:pStyle w:val="Normal"/>
        <w:rPr/>
      </w:pPr>
      <w:r>
        <w:rPr/>
        <w:t>Facilitator check: Submit review request; do not bypass</w:t>
      </w:r>
    </w:p>
    <w:p>
      <w:pPr>
        <w:pStyle w:val="Heading2"/>
        <w:rPr/>
      </w:pPr>
      <w:bookmarkStart w:id="30" w:name="__RefHeading___Toc10078_4150310382"/>
      <w:bookmarkEnd w:id="30"/>
      <w:r>
        <w:rPr/>
        <w:t xml:space="preserve">Activity 25 Apps Script and API integration contract Slide 237</w:t>
      </w:r>
    </w:p>
    <w:p>
      <w:pPr>
        <w:pStyle w:val="Normal"/>
        <w:rPr/>
      </w:pPr>
      <w:r>
        <w:rPr/>
        <w:t xml:space="preserve">30 minutes; slides 229–237</w:t>
      </w:r>
    </w:p>
    <w:p>
      <w:pPr>
        <w:pStyle w:val="Normal"/>
        <w:rPr/>
      </w:pPr>
      <w:r>
        <w:rPr/>
        <w:t>User edit C2 creates E2 timestamp; header/unrelated edits are ignored; report correctly states simple-trigger auth/runtime and programmatic-edit boundaries.</w:t>
      </w:r>
    </w:p>
    <w:p>
      <w:pPr>
        <w:pStyle w:val="Normal"/>
        <w:rPr/>
      </w:pPr>
      <w:r>
        <w:rPr/>
        <w:t>Method: explain mechanism and contract; inspect worked artifact; compare fault/control evidence; complete activity procedure; verify with exact output or intended identity.</w:t>
      </w:r>
    </w:p>
    <w:p>
      <w:pPr>
        <w:pStyle w:val="Normal"/>
        <w:rPr/>
      </w:pPr>
      <w:r>
        <w:rPr/>
        <w:t>Additional mechanism/chart slides: None. Teach during the block’s demo/review allocation.</w:t>
      </w:r>
    </w:p>
    <w:p>
      <w:pPr>
        <w:pStyle w:val="Normal"/>
        <w:rPr/>
      </w:pPr>
      <w:r>
        <w:rPr/>
        <w:t>Resources: Sheets, Apps Script; optional developer extension; activities/activity-25-apps-script-and-api-integration-contract/</w:t>
      </w:r>
    </w:p>
    <w:p>
      <w:pPr>
        <w:pStyle w:val="Normal"/>
        <w:rPr/>
      </w:pPr>
      <w:r>
        <w:rPr/>
        <w:t>Facilitator check: Edit the training sheet column C</w:t>
      </w:r>
    </w:p>
    <w:p>
      <w:pPr>
        <w:pStyle w:val="Heading1"/>
        <w:rPr/>
      </w:pPr>
      <w:bookmarkStart w:id="31" w:name="__RefHeading___Toc10080_4150310382"/>
      <w:bookmarkEnd w:id="31"/>
      <w:r>
        <w:rPr/>
        <w:t>Resources required</w:t>
      </w:r>
    </w:p>
    <w:p>
      <w:pPr>
        <w:pStyle w:val="Normal"/>
        <w:rPr/>
      </w:pPr>
      <w:r>
        <w:rPr/>
        <w:t>Browser, training accounts, projector, currentGoogle product access, local 25 Activity packages and synthetic files. Admin-only demonstrations are led by authorised trainer/admin. Account-dependent features use documented fallback evidence.</w:t>
      </w:r>
    </w:p>
    <w:p>
      <w:pPr>
        <w:pStyle w:val="Heading1"/>
        <w:rPr/>
      </w:pPr>
      <w:bookmarkStart w:id="32" w:name="__RefHeading___Toc10082_4150310382"/>
      <w:bookmarkEnd w:id="32"/>
      <w:r>
        <w:rPr/>
        <w:t xml:space="preserve">Support</w:t>
      </w:r>
    </w:p>
    <w:p>
      <w:pPr>
        <w:pStyle w:val="Normal"/>
        <w:rPr/>
      </w:pPr>
      <w:hyperlink r:id="rId3">
        <w:r>
          <w:rPr>
            <w:rStyle w:val="Style"/>
            <w:color w:val="1F6FEB"/>
          </w:rPr>
          <w:t xml:space="preserve">Open LMS courseware portal</w:t>
        </w:r>
      </w:hyperlink>
    </w:p>
    <w:p>
      <w:pPr>
        <w:pStyle w:val="Normal"/>
        <w:widowControl/>
        <w:bidi w:val="0"/>
        <w:spacing w:lineRule="auto" w:line="276" w:before="0" w:after="120"/>
        <w:jc w:val="start"/>
        <w:rPr/>
      </w:pPr>
      <w:r>
        <w:rPr/>
        <w:t xml:space="preserve">Support: enquiry@tertiaryinfotech.com ·+65 6100 0613 ·www.tertiarycourses.com.sg. Use mock data and keep private account evidence outside public activity repositories.</w:t>
      </w:r>
    </w:p>
    <w:sectPr>
      <w:footerReference w:type="even" r:id="rId4"/>
      <w:footerReference w:type="default" r:id="rId5"/>
      <w:footerReference w:type="first" r:id="rId6"/>
      <w:type w:val="nextPage"/>
      <w:pgSz w:w="11906" w:h="16838"/>
      <w:pgMar w:left="1080" w:right="1080" w:gutter="0" w:header="0" w:top="1008" w:footer="720" w:bottom="1008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mbria">
    <w:charset w:val="01" w:characterSet="utf-8"/>
    <w:family w:val="roman"/>
    <w:pitch w:val="variable"/>
  </w:font>
  <w:font w:name="Arial">
    <w:charset w:val="01" w:characterSet="utf-8"/>
    <w:family w:val="swiss"/>
    <w:pitch w:val="variable"/>
  </w:font>
  <w:font w:name="Calibri">
    <w:charset w:val="01" w:characterSet="utf-8"/>
    <w:family w:val="roman"/>
    <w:pitch w:val="variable"/>
  </w:font>
  <w:font w:name="Courier">
    <w:altName w:val="Courier New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Symbol">
    <w:charset w:val="01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>
        <w:color w:val="555B66"/>
        <w:sz w:val="18"/>
      </w:rPr>
      <w:t xml:space="preserve">Page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12</w:t>
    </w:r>
    <w:r>
      <w:rPr/>
      <w:fldChar w:fldCharType="end"/>
    </w:r>
    <w:r>
      <w:rPr>
        <w:color w:val="555B66"/>
        <w:sz w:val="18"/>
      </w:rPr>
      <w:t xml:space="preserve"> of </w:t>
    </w:r>
    <w:r>
      <w:rPr/>
      <w:fldChar w:fldCharType="begin"/>
    </w:r>
    <w:r>
      <w:rPr/>
      <w:instrText xml:space="preserve"> NUMPAGES </w:instrText>
    </w:r>
    <w:r>
      <w:rPr/>
      <w:fldChar w:fldCharType="separate"/>
    </w:r>
    <w:r>
      <w:rPr/>
      <w:t>12</w:t>
    </w:r>
    <w:r>
      <w:rPr/>
      <w:fldChar w:fldCharType="end"/>
    </w:r>
  </w:p>
  <w:p>
    <w:pPr>
      <w:pStyle w:val="Normal"/>
      <w:spacing w:before="0" w:after="120"/>
      <w:jc w:val="center"/>
      <w:rPr/>
    </w:pPr>
    <w:r>
      <w:rPr>
        <w:color w:val="555B66"/>
        <w:sz w:val="15"/>
      </w:rPr>
      <w:t>© 2026 Tertiary Infotech Academy Pte Ltd. All rights reserved.  ·  www.tertiarycourses.com.sg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>
        <w:color w:val="555B66"/>
        <w:sz w:val="18"/>
      </w:rPr>
      <w:t xml:space="preserve">Page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12</w:t>
    </w:r>
    <w:r>
      <w:rPr/>
      <w:fldChar w:fldCharType="end"/>
    </w:r>
    <w:r>
      <w:rPr>
        <w:color w:val="555B66"/>
        <w:sz w:val="18"/>
      </w:rPr>
      <w:t xml:space="preserve"> of </w:t>
    </w:r>
    <w:r>
      <w:rPr/>
      <w:fldChar w:fldCharType="begin"/>
    </w:r>
    <w:r>
      <w:rPr/>
      <w:instrText xml:space="preserve"> NUMPAGES </w:instrText>
    </w:r>
    <w:r>
      <w:rPr/>
      <w:fldChar w:fldCharType="separate"/>
    </w:r>
    <w:r>
      <w:rPr/>
      <w:t>12</w:t>
    </w:r>
    <w:r>
      <w:rPr/>
      <w:fldChar w:fldCharType="end"/>
    </w:r>
  </w:p>
  <w:p>
    <w:pPr>
      <w:pStyle w:val="Normal"/>
      <w:spacing w:before="0" w:after="120"/>
      <w:jc w:val="center"/>
      <w:rPr/>
    </w:pPr>
    <w:r>
      <w:rPr>
        <w:color w:val="555B66"/>
        <w:sz w:val="15"/>
      </w:rPr>
      <w:t>© 2026 Tertiary Infotech Academy Pte Ltd. All rights reserved.  ·  www.tertiarycourses.com.sg</w:t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suppressAutoHyphens w:val="true"/>
      <w:bidi w:val="0"/>
      <w:spacing w:lineRule="auto" w:line="276" w:before="0" w:after="120"/>
      <w:jc w:val="start"/>
    </w:pPr>
    <w:rPr>
      <w:rFonts w:ascii="Arial" w:hAnsi="Arial" w:eastAsia="" w:cs="" w:cstheme="minorBidi" w:eastAsiaTheme="minorEastAsia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val="1F6FE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val="11182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val="1F6FEB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character" w:styleId="Hyperlink">
    <w:name w:val="Hyperlink"/>
    <w:rPr>
      <w:color w:val="000080"/>
      <w:u w:val="single"/>
    </w:rPr>
  </w:style>
  <w:style w:type="character" w:styleId="IndexLink">
    <w:name w:val="Index Link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12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lineRule="auto" w:line="240" w:before="0" w:after="0"/>
      <w:jc w:val="star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" w:cs="" w:asciiTheme="majorHAnsi" w:cstheme="majorBidi" w:eastAsiaTheme="majorEastAsia" w:hAnsiTheme="majorHAnsi"/>
      <w:b/>
      <w:color w:val="111827"/>
      <w:spacing w:val="5"/>
      <w:kern w:val="2"/>
      <w:sz w:val="48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12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12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12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12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12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12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12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12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12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start"/>
    </w:pPr>
    <w:rPr>
      <w:rFonts w:ascii="Courier" w:hAnsi="Courier" w:eastAsia="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paragraph" w:styleId="TOC1">
    <w:name w:val="toc 1"/>
    <w:basedOn w:val="Index"/>
    <w:pPr>
      <w:tabs>
        <w:tab w:val="clear" w:pos="720"/>
        <w:tab w:val="right" w:pos="9746" w:leader="dot"/>
      </w:tabs>
      <w:ind w:hanging="0" w:start="0"/>
    </w:pPr>
    <w:rPr/>
  </w:style>
  <w:style w:type="paragraph" w:styleId="TOC2">
    <w:name w:val="toc 2"/>
    <w:basedOn w:val="Index"/>
    <w:pPr>
      <w:tabs>
        <w:tab w:val="clear" w:pos="720"/>
        <w:tab w:val="right" w:pos="9463" w:leader="dot"/>
      </w:tabs>
      <w:ind w:hanging="0" w:start="283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yperlink" Target="https://lms-tms.tertiaryinfotech.com/" TargetMode="External"/><Relationship Id="rId4" Type="http://schemas.openxmlformats.org/officeDocument/2006/relationships/footer" Target="footer1.xml"/><Relationship Id="rId5" Type="http://schemas.openxmlformats.org/officeDocument/2006/relationships/footer" Target="footer2.xml"/><Relationship Id="rId6" Type="http://schemas.openxmlformats.org/officeDocument/2006/relationships/footer" Target="footer3.xml"/><Relationship Id="rId7" Type="http://schemas.openxmlformats.org/officeDocument/2006/relationships/numbering" Target="numbering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Relationship Id="rId11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LibreOffice/26.2.4.2$MacOSX_AARCH64 LibreOffice_project/0229ac93fcf0d7cbc6376066c6f35021cef002dc</Application>
  <AppVersion>15.0000</AppVersion>
  <Pages>12</Pages>
  <Words>2963</Words>
  <Characters>20067</Characters>
  <CharactersWithSpaces>22640</CharactersWithSpaces>
  <Paragraphs>347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en-SG</dc:language>
  <cp:lastModifiedBy/>
  <dcterms:modified xsi:type="dcterms:W3CDTF">2026-09-13T02:56:23Z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