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Generative AI for Adobe Photoshop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7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Original trainer slides and delivery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>
              <w:t>1.0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19 September 2026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One-day non-WSQ plan for four topics and ten labs.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Dr Alfred Ang</w:t>
            </w:r>
            <w:r>
              <w:rPr>
                <w:sz w:val="19"/>
              </w:rPr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Information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title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Generative AI for Adobe Photoshop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code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C16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Duration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1 day · 7.5 instructional hours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Delivery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Facilitated concepts, coached Photoshop/Firefly labs and critique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Provider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Tertiary Infotech Academy Pte Ltd · 201200789K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Version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v1.0 · 19 September 2026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Initiate visual communication through generative AI in Photoshop and Firefly.</w:t>
      </w:r>
    </w:p>
    <w:p>
      <w:pPr>
        <w:pStyle w:val="ListBullet"/>
      </w:pPr>
      <w:r>
        <w:t>LO2: Create storyboards in Firefly for visual narratives and task flows.</w:t>
      </w:r>
    </w:p>
    <w:p>
      <w:pPr>
        <w:pStyle w:val="ListBullet"/>
      </w:pPr>
      <w:r>
        <w:t>LO3: Propose enhancements through aesthetic analysis and advanced critique in Photoshop.</w:t>
      </w:r>
    </w:p>
    <w:p>
      <w:pPr>
        <w:pStyle w:val="ListBullet"/>
      </w:pPr>
      <w:r>
        <w:t>LO4: Formulate generative-AI colour strategies in Photoshop.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· 9:30am – 5:30pm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09:30–09:45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Welcome, introductions, ground rules and material access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Opening slides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09:45–10:45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Human-led GenAI creative loop, use cases, prompt anatomy and iteration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1: slide 12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10:45–11:45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1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Design principles, visual hierarchy and responsible provenance; Labs 1–2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 slides: 30, 31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11:45–12:45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Firefly models, content controls, composition and style references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2: slide 33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12:45–13:15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13:15–14:15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2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Storyboard architecture, task flow and editable text; Labs 3–4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 slides: 51, 52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14:15–15:20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3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Photoshop generative feature map, selections and Generative Fill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3: slide 54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15:20–16:25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3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Backgrounds, Harmonize, Expand and reference-guided editing; Labs 5–8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Labs: 72, 73, 74, 75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16:25–17:15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50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4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Colour fundamentals, adjustment layers, restoration and delivery; Labs 9–10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4: 77 · Labs: 96, 97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17:15–17:30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Recap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Course synthesis, peer review and close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Closing slides</w:t>
            </w:r>
          </w:p>
        </w:tc>
      </w:tr>
    </w:tbl>
    <w:p>
      <w:r>
        <w:br w:type="page"/>
      </w:r>
    </w:p>
    <w:p>
      <w:pPr>
        <w:pStyle w:val="Heading1"/>
      </w:pPr>
      <w:r>
        <w:t>Lab Alignment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232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Lab</w:t>
            </w:r>
          </w:p>
        </w:tc>
        <w:tc>
          <w:tcPr>
            <w:tcW w:type="dxa" w:w="1944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Topic / Outcome</w:t>
            </w:r>
          </w:p>
        </w:tc>
        <w:tc>
          <w:tcPr>
            <w:tcW w:type="dxa" w:w="720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Slide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Key acceptance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01: Prompt-to-Image Visual Brief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1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At least three controlled prompt iterations are retained.; The selected JPEG has a clear focal point and intentional copy space.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02: Design Principles and Prompt Refinement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1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PSD contains guides, editable type and separate candidate layers.; The final hierarchy remains clear at thumbnail size.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03: Composition and Style References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2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Baseline, composition-only, style-only and combined results are present.; Only the intended reference condition changes between comparisons.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04: Storyboard and Task Flow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2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Every frame has a purpose and transition caption.; Task flow includes ownership and an approval gate.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05: Generative Fill: Directed Inpainting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Original pixels remain protected.; Generated edits are on named generated layers with editable masks.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06: Background Replacement and Harmonize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Subject and placed element masks remain editable.; Light, perspective and contact shadow are visually coherent.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07: Generative Expand for Channel Ratios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All three aspect ratios are delivered.; Focal hierarchy and protected subject details remain intact.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08: Reference Image and Multi-Prompt Composition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Protected identity and background regions remain unchanged.; Reference asset and selected variation are retained with the PSD.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09: Restoration, Critique and Colour Strategy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4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Original, AI output and manual corrections remain separately reviewable.; Tonal range avoids unintended highlight/shadow clipping.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10: Wellness Campaign Capstone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4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97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The package demonstrates the full workflow.; All adjustments and generated layers remain editable and documented.</w:t>
            </w:r>
          </w:p>
        </w:tc>
      </w:tr>
    </w:tbl>
    <w:sectPr w:rsidR="00FC693F" w:rsidRPr="0006063C" w:rsidSect="00034616">
      <w:footerReference w:type="default" r:id="rId10"/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