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LESSON PLAN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AI Agents for Stock Trading (C177)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Course Code: C177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1.1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11 August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Initial aligned non-WSQ release with two topics, four connected labs, and a paper-only trading workflow.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Trainer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4 October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retitled from AI Agents for Trading to AI Agents for Stock Trading.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Course Trainer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Information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Outcomes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Learning Reinforcement</w:t>
        <w:tab/>
        <w:t>4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Course Schedule</w:t>
        <w:tab/>
        <w:t>5</w:t>
      </w:r>
    </w:p>
    <w:p>
      <w:pPr>
        <w:tabs>
          <w:tab w:pos="9072" w:val="right" w:leader="dot"/>
        </w:tabs>
        <w:spacing w:after="60"/>
        <w:ind w:left="432"/>
      </w:pPr>
      <w:r>
        <w:rPr>
          <w:rFonts w:ascii="Arial" w:hAnsi="Arial"/>
          <w:b w:val="0"/>
          <w:color w:val="333333"/>
          <w:sz w:val="21"/>
        </w:rPr>
        <w:t>Day 1 — From Evidence-Led Research to a Controlled Paper Trade</w:t>
        <w:tab/>
        <w:t>5</w:t>
      </w:r>
    </w:p>
    <w:p>
      <w:pPr>
        <w:tabs>
          <w:tab w:pos="9072" w:val="right" w:leader="dot"/>
        </w:tabs>
        <w:spacing w:after="60"/>
      </w:pPr>
      <w:r>
        <w:rPr>
          <w:rFonts w:ascii="Arial" w:hAnsi="Arial"/>
          <w:b/>
          <w:color w:val="333333"/>
          <w:sz w:val="22"/>
        </w:rPr>
        <w:t>Lab Reference (aligned to course topics)</w:t>
        <w:tab/>
        <w:t>5</w:t>
      </w:r>
    </w:p>
    <w:p>
      <w:r>
        <w:br w:type="page"/>
      </w:r>
    </w:p>
    <w:p>
      <w:pPr>
        <w:pStyle w:val="Heading1"/>
      </w:pPr>
      <w:r>
        <w:t>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AI Agents for Stock Trading (C177)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Course Reference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C177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Training Provider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Tertiary Infotech Academy Pte Ltd  (UEN 201200696W)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Duration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 day · 7.5 instructional hours · 8 clock hours including tea breaks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Daily Timing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9:00 am - 6:00 pm (1-hour lunch; two 15-minute tea breaks)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Mode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Instructor-led, concept-first learning with connected Python labs</w:t>
            </w:r>
          </w:p>
        </w:tc>
      </w:tr>
      <w:tr>
        <w:tc>
          <w:tcPr>
            <w:tcW w:type="dxa" w:w="4320"/>
            <w:shd w:val="clear" w:color="auto" w:fill="E8F0FE"/>
          </w:tcPr>
          <w:p>
            <w:r/>
            <w:r>
              <w:rPr>
                <w:b/>
                <w:sz w:val="20"/>
              </w:rPr>
              <w:t>Trainer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Course Trainer</w:t>
            </w:r>
          </w:p>
        </w:tc>
      </w:tr>
    </w:tbl>
    <w:p>
      <w:pPr>
        <w:pStyle w:val="Heading1"/>
      </w:pPr>
      <w:r>
        <w:t>Learning Outcomes</w:t>
      </w:r>
    </w:p>
    <w:p>
      <w:r>
        <w:t>On completion of this course, learners will be able to:</w:t>
      </w:r>
    </w:p>
    <w:p>
      <w:pPr>
        <w:pStyle w:val="ListBullet"/>
      </w:pPr>
      <w:r>
        <w:rPr>
          <w:sz w:val="21"/>
        </w:rPr>
        <w:t>LO1: Explain how a bounded AI trading agent combines a model, instructions, tools, state, evidence, guardrails, and human control without becoming an autonomous money manager.</w:t>
      </w:r>
    </w:p>
    <w:p>
      <w:pPr>
        <w:pStyle w:val="ListBullet"/>
      </w:pPr>
      <w:r>
        <w:rPr>
          <w:sz w:val="21"/>
        </w:rPr>
        <w:t>LO2: Research a trading idea with an AI agent and convert it into a structured, falsifiable hypothesis with explicit rules, assumptions, evidence, and rejection criteria.</w:t>
      </w:r>
    </w:p>
    <w:p>
      <w:pPr>
        <w:pStyle w:val="ListBullet"/>
      </w:pPr>
      <w:r>
        <w:rPr>
          <w:sz w:val="21"/>
        </w:rPr>
        <w:t>LO3: Connect the agent workflow to an authorised market-data source and validate coverage, timestamps, corporate-action adjustments, completeness, consistency, and freshness before use.</w:t>
      </w:r>
    </w:p>
    <w:p>
      <w:pPr>
        <w:pStyle w:val="ListBullet"/>
      </w:pPr>
      <w:r>
        <w:rPr>
          <w:sz w:val="21"/>
        </w:rPr>
        <w:t>LO4: Define deterministic trading rules, run an honest backtest, compare a benchmark, and audit data leakage, friction assumptions, overfitting, and out-of-sample behaviour.</w:t>
      </w:r>
    </w:p>
    <w:p>
      <w:pPr>
        <w:pStyle w:val="ListBullet"/>
      </w:pPr>
      <w:r>
        <w:rPr>
          <w:sz w:val="21"/>
        </w:rPr>
        <w:t>LO5: Calculate a bounded position size from account risk and stop distance, then prepare an auditable paper-order ticket with pre-trade limits and human approval evidence.</w:t>
      </w:r>
    </w:p>
    <w:p>
      <w:pPr>
        <w:pStyle w:val="ListBullet"/>
      </w:pPr>
      <w:r>
        <w:rPr>
          <w:sz w:val="21"/>
        </w:rPr>
        <w:t>LO6: Place and verify a paper-only trade through a controlled agent workflow while applying verify-then-trust checkpoints, logs, stop conditions, and rollback procedures.</w:t>
      </w:r>
    </w:p>
    <w:p>
      <w:pPr>
        <w:pStyle w:val="Heading1"/>
      </w:pPr>
      <w:r>
        <w:t>Learning Reinforcement</w:t>
      </w:r>
    </w:p>
    <w:p>
      <w:pPr>
        <w:pStyle w:val="ListBullet"/>
      </w:pPr>
      <w:r>
        <w:rPr>
          <w:sz w:val="21"/>
        </w:rPr>
        <w:t>Every topic is followed by hands-on labs that learners complete on their own machine.</w:t>
      </w:r>
    </w:p>
    <w:p>
      <w:pPr>
        <w:pStyle w:val="ListBullet"/>
      </w:pPr>
      <w:r>
        <w:rPr>
          <w:sz w:val="21"/>
        </w:rPr>
        <w:t>Each lab ends with a 'Test it' verification step so learners can confirm their own progress.</w:t>
      </w:r>
    </w:p>
    <w:p>
      <w:pPr>
        <w:pStyle w:val="ListBullet"/>
      </w:pPr>
      <w:r>
        <w:rPr>
          <w:sz w:val="21"/>
        </w:rPr>
        <w:t>The trainer circulates during lab time to give individual feedback and unblock learners.</w:t>
      </w:r>
    </w:p>
    <w:p>
      <w:pPr>
        <w:pStyle w:val="ListBullet"/>
      </w:pPr>
      <w:r>
        <w:rPr>
          <w:sz w:val="21"/>
        </w:rPr>
        <w:t>Each topic closes with a recap mapped back to the course learning outcomes.</w:t>
      </w:r>
    </w:p>
    <w:p>
      <w:pPr>
        <w:pStyle w:val="Heading1"/>
      </w:pPr>
      <w:r>
        <w:t>Course Schedule</w:t>
      </w:r>
    </w:p>
    <w:p>
      <w:pPr>
        <w:pStyle w:val="Heading2"/>
      </w:pPr>
      <w:r>
        <w:t>Day 1 — From Evidence-Led Research to a Controlled Paper Trade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65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Time</w:t>
            </w:r>
          </w:p>
        </w:tc>
        <w:tc>
          <w:tcPr>
            <w:tcW w:type="dxa" w:w="1296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Duration</w:t>
            </w:r>
          </w:p>
        </w:tc>
        <w:tc>
          <w:tcPr>
            <w:tcW w:type="dxa" w:w="684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 / Activity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9:00–9:20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20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Welcome, safety boundary, course outcomes, and connected scenario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9:20–10:05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45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AI trading agents, research evidence, and structured hypotheses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10:05–10:20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10:20–11:10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50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1: Research an Idea and Freeze a Testable Hypothesis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11:10–11:45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35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1 - market-data contracts, feed coverage, adjustments, and quality gates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11:45–12:45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2: Fetch Market Data and Prove It Is Fit for Purpose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12:45–13:45</w:t>
            </w:r>
          </w:p>
        </w:tc>
        <w:tc>
          <w:tcPr>
            <w:tcW w:type="dxa" w:w="1296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FDE9D9"/>
          </w:tcPr>
          <w:p>
            <w:r/>
            <w:r>
              <w:rPr>
                <w:rFonts w:ascii="Arial" w:hAnsi="Arial"/>
                <w:b w:val="0"/>
                <w:sz w:val="19"/>
              </w:rPr>
              <w:t>Lunch break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13:45–14:45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60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rule specification, backtesting, realism, and audit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14:45–15:00</w:t>
            </w:r>
          </w:p>
        </w:tc>
        <w:tc>
          <w:tcPr>
            <w:tcW w:type="dxa" w:w="1296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FF4E5"/>
          </w:tcPr>
          <w:p>
            <w:r/>
            <w:r>
              <w:rPr>
                <w:rFonts w:ascii="Arial" w:hAnsi="Arial"/>
                <w:b w:val="0"/>
                <w:sz w:val="19"/>
              </w:rPr>
              <w:t>Tea break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15:00–16:05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65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3: Backtest the Rules and Audit the Evidence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16:05–16:35</w:t>
            </w:r>
          </w:p>
        </w:tc>
        <w:tc>
          <w:tcPr>
            <w:tcW w:type="dxa" w:w="1296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30 min</w:t>
            </w:r>
          </w:p>
        </w:tc>
        <w:tc>
          <w:tcPr>
            <w:tcW w:type="dxa" w:w="684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2 - risk sizing, paper orders, human gates, and rollback</w:t>
            </w:r>
          </w:p>
        </w:tc>
      </w:tr>
      <w:tr>
        <w:trPr>
          <w:cantSplit w:val="true"/>
        </w:trPr>
        <w:tc>
          <w:tcPr>
            <w:tcW w:type="dxa" w:w="1656"/>
          </w:tcPr>
          <w:p>
            <w:r/>
            <w:r>
              <w:rPr>
                <w:rFonts w:ascii="Arial" w:hAnsi="Arial"/>
                <w:b w:val="0"/>
                <w:sz w:val="19"/>
              </w:rPr>
              <w:t>16:35–17:45</w:t>
            </w:r>
          </w:p>
        </w:tc>
        <w:tc>
          <w:tcPr>
            <w:tcW w:type="dxa" w:w="1296"/>
          </w:tcPr>
          <w:p>
            <w:r/>
            <w:r>
              <w:rPr>
                <w:rFonts w:ascii="Arial" w:hAnsi="Arial"/>
                <w:b w:val="0"/>
                <w:sz w:val="19"/>
              </w:rPr>
              <w:t>70 min</w:t>
            </w:r>
          </w:p>
        </w:tc>
        <w:tc>
          <w:tcPr>
            <w:tcW w:type="dxa" w:w="6840"/>
          </w:tcPr>
          <w:p>
            <w:r/>
            <w:r>
              <w:rPr>
                <w:rFonts w:ascii="Arial" w:hAnsi="Arial"/>
                <w:b w:val="0"/>
                <w:sz w:val="19"/>
              </w:rPr>
              <w:t>Hands-on: Lab 4: Size Risk, Approve, and Verify a Paper Trade</w:t>
            </w:r>
          </w:p>
        </w:tc>
      </w:tr>
      <w:tr>
        <w:trPr>
          <w:cantSplit w:val="true"/>
        </w:trPr>
        <w:tc>
          <w:tcPr>
            <w:tcW w:type="dxa" w:w="165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17:45–18:00</w:t>
            </w:r>
          </w:p>
        </w:tc>
        <w:tc>
          <w:tcPr>
            <w:tcW w:type="dxa" w:w="1296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15 min</w:t>
            </w:r>
          </w:p>
        </w:tc>
        <w:tc>
          <w:tcPr>
            <w:tcW w:type="dxa" w:w="6840"/>
            <w:shd w:val="clear" w:color="auto" w:fill="F3F5F8"/>
          </w:tcPr>
          <w:p>
            <w:r/>
            <w:r>
              <w:rPr>
                <w:rFonts w:ascii="Arial" w:hAnsi="Arial"/>
                <w:b w:val="0"/>
                <w:sz w:val="19"/>
              </w:rPr>
              <w:t>Verify final evidence pack, next steps, and Q&amp;A</w:t>
            </w:r>
          </w:p>
        </w:tc>
      </w:tr>
    </w:tbl>
    <w:p>
      <w:r>
        <w:rPr>
          <w:i/>
          <w:color w:val="555B66"/>
          <w:sz w:val="19"/>
        </w:rPr>
        <w:t>Total scheduled time: 480 minutes (8 hours) excluding lunch — of which 450 minutes (7.5 hours) are instructional, plus 30 minutes of tea breaks.</w:t>
      </w:r>
    </w:p>
    <w:p>
      <w:pPr>
        <w:pStyle w:val="Heading1"/>
      </w:pPr>
      <w:r>
        <w:t>Lab Reference (aligned to course topics)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Topic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Coverage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rFonts w:ascii="Arial" w:hAnsi="Arial"/>
                <w:b/>
                <w:color w:val="FFFFFF"/>
                <w:sz w:val="20"/>
              </w:rPr>
              <w:t>Labs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01: From Trading Idea to Quality Market Data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4 labs (50%)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1, Lab 2</w:t>
            </w:r>
          </w:p>
        </w:tc>
      </w:tr>
      <w:tr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/>
                <w:sz w:val="19"/>
              </w:rPr>
              <w:t>Topic 02: The Six-Step Trading Workflow and Staying in Control</w:t>
            </w:r>
          </w:p>
        </w:tc>
        <w:tc>
          <w:tcPr>
            <w:tcW w:type="dxa" w:w="2880"/>
            <w:shd w:val="clear" w:color="auto" w:fill="E8F0FE"/>
          </w:tcPr>
          <w:p>
            <w:r/>
            <w:r>
              <w:rPr>
                <w:rFonts w:ascii="Arial" w:hAnsi="Arial"/>
                <w:b w:val="0"/>
                <w:sz w:val="19"/>
              </w:rPr>
              <w:t>2 of 4 labs (50%)</w:t>
            </w:r>
          </w:p>
        </w:tc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19"/>
              </w:rPr>
              <w:t>Lab 3, Lab 4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