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Build and Deploy Python Applications with Vibe Coding</w:t>
      </w:r>
    </w:p>
    <w:p>
      <w:pPr>
        <w:spacing w:before="80" w:after="280"/>
        <w:jc w:val="center"/>
      </w:pPr>
      <w:r>
        <w:rPr>
          <w:b w:val="0"/>
          <w:color w:val="111827"/>
          <w:sz w:val="24"/>
        </w:rPr>
        <w:t>TGS Ref No: TGS-2019504591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1.6</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20 July 2026</w:t>
            </w:r>
          </w:p>
        </w:tc>
        <w:tc>
          <w:tcPr>
            <w:tcW w:type="dxa" w:w="2160"/>
          </w:tcPr>
          <w:p>
            <w:r/>
            <w:r>
              <w:rPr>
                <w:sz w:val="19"/>
              </w:rPr>
              <w:t>Initial release — 5 topics, 20 labs, CardGuard fraud-screening application.</w:t>
            </w:r>
          </w:p>
        </w:tc>
        <w:tc>
          <w:tcPr>
            <w:tcW w:type="dxa" w:w="2160"/>
          </w:tcPr>
          <w:p>
            <w:r/>
            <w:r>
              <w:rPr>
                <w:sz w:val="19"/>
              </w:rPr>
              <w:t>Dr. Alfred Ang</w:t>
            </w:r>
          </w:p>
        </w:tc>
      </w:tr>
      <w:tr>
        <w:tc>
          <w:tcPr>
            <w:tcW w:type="dxa" w:w="2160"/>
          </w:tcPr>
          <w:p>
            <w:r/>
            <w:r>
              <w:rPr>
                <w:sz w:val="19"/>
              </w:rPr>
              <w:t>1.1</w:t>
            </w:r>
          </w:p>
        </w:tc>
        <w:tc>
          <w:tcPr>
            <w:tcW w:type="dxa" w:w="2160"/>
          </w:tcPr>
          <w:p>
            <w:r/>
            <w:r>
              <w:rPr>
                <w:sz w:val="19"/>
              </w:rPr>
              <w:t>20 July 2026</w:t>
            </w:r>
          </w:p>
        </w:tc>
        <w:tc>
          <w:tcPr>
            <w:tcW w:type="dxa" w:w="2160"/>
          </w:tcPr>
          <w:p>
            <w:r/>
            <w:r>
              <w:rPr>
                <w:sz w:val="19"/>
              </w:rPr>
              <w:t>Corrected all framing content to the Python / vibe-coding syllabus: learning outcomes, core-concepts section, trainer profile, lesson-plan schedule (9:30am-6:30pm), lab references (20 labs) and closing slides now render from course_data. Added Quick Command Reference and Support sections to the Learner Guide.</w:t>
            </w:r>
          </w:p>
        </w:tc>
        <w:tc>
          <w:tcPr>
            <w:tcW w:type="dxa" w:w="2160"/>
          </w:tcPr>
          <w:p>
            <w:r/>
            <w:r>
              <w:rPr>
                <w:sz w:val="19"/>
              </w:rPr>
              <w:t>Dr. Alfred Ang</w:t>
            </w:r>
          </w:p>
        </w:tc>
      </w:tr>
      <w:tr>
        <w:tc>
          <w:tcPr>
            <w:tcW w:type="dxa" w:w="2160"/>
          </w:tcPr>
          <w:p>
            <w:r/>
            <w:r>
              <w:rPr>
                <w:sz w:val="19"/>
              </w:rPr>
              <w:t>1.2</w:t>
            </w:r>
          </w:p>
        </w:tc>
        <w:tc>
          <w:tcPr>
            <w:tcW w:type="dxa" w:w="2160"/>
          </w:tcPr>
          <w:p>
            <w:r/>
            <w:r>
              <w:rPr>
                <w:sz w:val="19"/>
              </w:rPr>
              <w:t>20 July 2026</w:t>
            </w:r>
          </w:p>
        </w:tc>
        <w:tc>
          <w:tcPr>
            <w:tcW w:type="dxa" w:w="2160"/>
          </w:tcPr>
          <w:p>
            <w:r/>
            <w:r>
              <w:rPr>
                <w:sz w:val="19"/>
              </w:rPr>
              <w:t>Rebuilt the lab step slides: code now renders in a dark card sized to its content with a side-by-side explanation column, long snippets continue onto further slides, and the instruction text no longer overlaps the code. Added cover logos; replaced the exam-weighting kicker; Briefing for Assessment is now a visual tile grid.</w:t>
            </w:r>
          </w:p>
        </w:tc>
        <w:tc>
          <w:tcPr>
            <w:tcW w:type="dxa" w:w="2160"/>
          </w:tcPr>
          <w:p>
            <w:r/>
            <w:r>
              <w:rPr>
                <w:sz w:val="19"/>
              </w:rPr>
              <w:t>Dr. Alfred Ang</w:t>
            </w:r>
          </w:p>
        </w:tc>
      </w:tr>
      <w:tr>
        <w:tc>
          <w:tcPr>
            <w:tcW w:type="dxa" w:w="2160"/>
          </w:tcPr>
          <w:p>
            <w:r/>
            <w:r>
              <w:rPr>
                <w:sz w:val="19"/>
              </w:rPr>
              <w:t>1.3</w:t>
            </w:r>
          </w:p>
        </w:tc>
        <w:tc>
          <w:tcPr>
            <w:tcW w:type="dxa" w:w="2160"/>
          </w:tcPr>
          <w:p>
            <w:r/>
            <w:r>
              <w:rPr>
                <w:sz w:val="19"/>
              </w:rPr>
              <w:t>20 July 2026</w:t>
            </w:r>
          </w:p>
        </w:tc>
        <w:tc>
          <w:tcPr>
            <w:tcW w:type="dxa" w:w="2160"/>
          </w:tcPr>
          <w:p>
            <w:r/>
            <w:r>
              <w:rPr>
                <w:sz w:val="19"/>
              </w:rPr>
              <w:t>Fixed the lab code slides properly: code is wrapped to the card width so it can no longer render outside the dark card, and wrapped continuation lines keep their indentation instead of resetting to column 0. Lab kickers now show the lab number only (they were truncated mid-word). Replaced the LMS/TMS text link with a portal screenshot slide.</w:t>
            </w:r>
          </w:p>
        </w:tc>
        <w:tc>
          <w:tcPr>
            <w:tcW w:type="dxa" w:w="2160"/>
          </w:tcPr>
          <w:p>
            <w:r/>
            <w:r>
              <w:rPr>
                <w:sz w:val="19"/>
              </w:rPr>
              <w:t>Dr. Alfred Ang</w:t>
            </w:r>
          </w:p>
        </w:tc>
      </w:tr>
      <w:tr>
        <w:tc>
          <w:tcPr>
            <w:tcW w:type="dxa" w:w="2160"/>
          </w:tcPr>
          <w:p>
            <w:r/>
            <w:r>
              <w:rPr>
                <w:sz w:val="19"/>
              </w:rPr>
              <w:t>1.4</w:t>
            </w:r>
          </w:p>
        </w:tc>
        <w:tc>
          <w:tcPr>
            <w:tcW w:type="dxa" w:w="2160"/>
          </w:tcPr>
          <w:p>
            <w:r/>
            <w:r>
              <w:rPr>
                <w:sz w:val="19"/>
              </w:rPr>
              <w:t>20 July 2026</w:t>
            </w:r>
          </w:p>
        </w:tc>
        <w:tc>
          <w:tcPr>
            <w:tcW w:type="dxa" w:w="2160"/>
          </w:tcPr>
          <w:p>
            <w:r/>
            <w:r>
              <w:rPr>
                <w:sz w:val="19"/>
              </w:rPr>
              <w:t>Course-portal screenshot is now scaled to fit inside its card (it previously overhung the card and collided with the caption), and the caption sits below the card.</w:t>
            </w:r>
          </w:p>
        </w:tc>
        <w:tc>
          <w:tcPr>
            <w:tcW w:type="dxa" w:w="2160"/>
          </w:tcPr>
          <w:p>
            <w:r/>
            <w:r>
              <w:rPr>
                <w:sz w:val="19"/>
              </w:rPr>
              <w:t>Dr. Alfred Ang</w:t>
            </w:r>
          </w:p>
        </w:tc>
      </w:tr>
      <w:tr>
        <w:tc>
          <w:tcPr>
            <w:tcW w:type="dxa" w:w="2160"/>
          </w:tcPr>
          <w:p>
            <w:r/>
            <w:r>
              <w:rPr>
                <w:sz w:val="19"/>
              </w:rPr>
              <w:t>1.5</w:t>
            </w:r>
          </w:p>
        </w:tc>
        <w:tc>
          <w:tcPr>
            <w:tcW w:type="dxa" w:w="2160"/>
          </w:tcPr>
          <w:p>
            <w:r/>
            <w:r>
              <w:rPr>
                <w:sz w:val="19"/>
              </w:rPr>
              <w:t>20 July 2026</w:t>
            </w:r>
          </w:p>
        </w:tc>
        <w:tc>
          <w:tcPr>
            <w:tcW w:type="dxa" w:w="2160"/>
          </w:tcPr>
          <w:p>
            <w:r/>
            <w:r>
              <w:rPr>
                <w:sz w:val="19"/>
              </w:rPr>
              <w:t>Re-authored Labs 1 and 2 onto the CardGuard application. They previously built an unrelated payroll/CPF tool while every other lab built CardGuard, so learners were told to work inside a payroll project in Lab 1 and inside the cardguard project from Lab 5. Lab 1 now initialises the cardguard project and loads transactions; Lab 2 teaches the same prompting pattern against a transaction risk-scoring function.</w:t>
            </w:r>
          </w:p>
        </w:tc>
        <w:tc>
          <w:tcPr>
            <w:tcW w:type="dxa" w:w="2160"/>
          </w:tcPr>
          <w:p>
            <w:r/>
            <w:r>
              <w:rPr>
                <w:sz w:val="19"/>
              </w:rPr>
              <w:t>Dr. Alfred Ang</w:t>
            </w:r>
          </w:p>
        </w:tc>
      </w:tr>
      <w:tr>
        <w:tc>
          <w:tcPr>
            <w:tcW w:type="dxa" w:w="2160"/>
          </w:tcPr>
          <w:p>
            <w:r/>
            <w:r>
              <w:rPr>
                <w:sz w:val="19"/>
              </w:rPr>
              <w:t>1.6</w:t>
            </w:r>
          </w:p>
        </w:tc>
        <w:tc>
          <w:tcPr>
            <w:tcW w:type="dxa" w:w="2160"/>
          </w:tcPr>
          <w:p>
            <w:r/>
            <w:r>
              <w:rPr>
                <w:sz w:val="19"/>
              </w:rPr>
              <w:t>20 July 2026</w:t>
            </w:r>
          </w:p>
        </w:tc>
        <w:tc>
          <w:tcPr>
            <w:tcW w:type="dxa" w:w="2160"/>
          </w:tcPr>
          <w:p>
            <w:r/>
            <w:r>
              <w:rPr>
                <w:sz w:val="19"/>
              </w:rPr>
              <w:t>Aligned the courseware with the new v17 assessment set: the practical instrument is a Case Study (CS, 80 minutes), not a Practical Performance (PP), and the WA is 50 minutes — corrected on the deck, the lesson plan and the learner guide. Code snippets now wrap on token boundaries so long pandas chains no longer split a string literal mid-word, and the explanation column no longer shows OOP notes beside Streamlit or Docker code.</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Course Information</w:t>
        <w:tab/>
        <w:t>5</w:t>
      </w:r>
    </w:p>
    <w:p>
      <w:pPr>
        <w:tabs>
          <w:tab w:pos="9072" w:val="right" w:leader="dot"/>
        </w:tabs>
        <w:spacing w:after="60"/>
      </w:pPr>
      <w:r>
        <w:rPr>
          <w:rFonts w:ascii="Arial" w:hAnsi="Arial"/>
          <w:b/>
          <w:color w:val="333333"/>
          <w:sz w:val="22"/>
        </w:rPr>
        <w:t>Learning Outcomes</w:t>
        <w:tab/>
        <w:t>5</w:t>
      </w:r>
    </w:p>
    <w:p>
      <w:pPr>
        <w:tabs>
          <w:tab w:pos="9072" w:val="right" w:leader="dot"/>
        </w:tabs>
        <w:spacing w:after="60"/>
      </w:pPr>
      <w:r>
        <w:rPr>
          <w:rFonts w:ascii="Arial" w:hAnsi="Arial"/>
          <w:b/>
          <w:color w:val="333333"/>
          <w:sz w:val="22"/>
        </w:rPr>
        <w:t>Assessment</w:t>
        <w:tab/>
        <w:t>5</w:t>
      </w:r>
    </w:p>
    <w:p>
      <w:pPr>
        <w:tabs>
          <w:tab w:pos="9072" w:val="right" w:leader="dot"/>
        </w:tabs>
        <w:spacing w:after="60"/>
      </w:pPr>
      <w:r>
        <w:rPr>
          <w:rFonts w:ascii="Arial" w:hAnsi="Arial"/>
          <w:b/>
          <w:color w:val="333333"/>
          <w:sz w:val="22"/>
        </w:rPr>
        <w:t>Course Schedule</w:t>
        <w:tab/>
        <w:t>5</w:t>
      </w:r>
    </w:p>
    <w:p>
      <w:pPr>
        <w:tabs>
          <w:tab w:pos="9072" w:val="right" w:leader="dot"/>
        </w:tabs>
        <w:spacing w:after="60"/>
        <w:ind w:left="432"/>
      </w:pPr>
      <w:r>
        <w:rPr>
          <w:rFonts w:ascii="Arial" w:hAnsi="Arial"/>
          <w:b w:val="0"/>
          <w:color w:val="333333"/>
          <w:sz w:val="21"/>
        </w:rPr>
        <w:t>Day 1 — Vibe Coding Foundations &amp; Object-Oriented Python</w:t>
        <w:tab/>
        <w:t>5</w:t>
      </w:r>
    </w:p>
    <w:p>
      <w:pPr>
        <w:tabs>
          <w:tab w:pos="9072" w:val="right" w:leader="dot"/>
        </w:tabs>
        <w:spacing w:after="60"/>
        <w:ind w:left="432"/>
      </w:pPr>
      <w:r>
        <w:rPr>
          <w:rFonts w:ascii="Arial" w:hAnsi="Arial"/>
          <w:b w:val="0"/>
          <w:color w:val="333333"/>
          <w:sz w:val="21"/>
        </w:rPr>
        <w:t>Day 2 — Data Analytics with pandas, Pydantic &amp; FastAPI</w:t>
        <w:tab/>
        <w:t>6</w:t>
      </w:r>
    </w:p>
    <w:p>
      <w:pPr>
        <w:tabs>
          <w:tab w:pos="9072" w:val="right" w:leader="dot"/>
        </w:tabs>
        <w:spacing w:after="60"/>
        <w:ind w:left="432"/>
      </w:pPr>
      <w:r>
        <w:rPr>
          <w:rFonts w:ascii="Arial" w:hAnsi="Arial"/>
          <w:b w:val="0"/>
          <w:color w:val="333333"/>
          <w:sz w:val="21"/>
        </w:rPr>
        <w:t>Day 3 — FastAPI, Packaging, Deployment &amp; Assessment</w:t>
        <w:tab/>
        <w:t>7</w:t>
      </w:r>
    </w:p>
    <w:p>
      <w:pPr>
        <w:tabs>
          <w:tab w:pos="9072" w:val="right" w:leader="dot"/>
        </w:tabs>
        <w:spacing w:after="60"/>
      </w:pPr>
      <w:r>
        <w:rPr>
          <w:rFonts w:ascii="Arial" w:hAnsi="Arial"/>
          <w:b/>
          <w:color w:val="333333"/>
          <w:sz w:val="22"/>
        </w:rPr>
        <w:t>Lab Reference (aligned to exam skill areas)</w:t>
        <w:tab/>
        <w:t>7</w:t>
      </w:r>
    </w:p>
    <w:p>
      <w:r>
        <w:br w:type="page"/>
      </w:r>
    </w:p>
    <w:p>
      <w:pPr>
        <w:pStyle w:val="Heading1"/>
      </w:pPr>
      <w:r>
        <w:t>Course Information</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
              <w:rPr>
                <w:b/>
                <w:sz w:val="20"/>
              </w:rPr>
              <w:t>Course Title</w:t>
            </w:r>
          </w:p>
        </w:tc>
        <w:tc>
          <w:tcPr>
            <w:tcW w:type="dxa" w:w="4320"/>
          </w:tcPr>
          <w:p>
            <w:r/>
            <w:r>
              <w:rPr>
                <w:sz w:val="20"/>
              </w:rPr>
              <w:t>Build and Deploy Python Applications with Vibe Coding</w:t>
            </w:r>
          </w:p>
        </w:tc>
      </w:tr>
      <w:tr>
        <w:tc>
          <w:tcPr>
            <w:tcW w:type="dxa" w:w="4320"/>
            <w:shd w:val="clear" w:color="auto" w:fill="E8F0FE"/>
          </w:tcPr>
          <w:p>
            <w:r/>
            <w:r>
              <w:rPr>
                <w:b/>
                <w:sz w:val="20"/>
              </w:rPr>
              <w:t>WSQ Course Reference</w:t>
            </w:r>
          </w:p>
        </w:tc>
        <w:tc>
          <w:tcPr>
            <w:tcW w:type="dxa" w:w="4320"/>
          </w:tcPr>
          <w:p>
            <w:r/>
            <w:r>
              <w:rPr>
                <w:sz w:val="20"/>
              </w:rPr>
              <w:t>TGS-2019504591</w:t>
            </w:r>
          </w:p>
        </w:tc>
      </w:tr>
      <w:tr>
        <w:tc>
          <w:tcPr>
            <w:tcW w:type="dxa" w:w="4320"/>
            <w:shd w:val="clear" w:color="auto" w:fill="E8F0FE"/>
          </w:tcPr>
          <w:p>
            <w:r/>
            <w:r>
              <w:rPr>
                <w:b/>
                <w:sz w:val="20"/>
              </w:rPr>
              <w:t>Training Provider</w:t>
            </w:r>
          </w:p>
        </w:tc>
        <w:tc>
          <w:tcPr>
            <w:tcW w:type="dxa" w:w="4320"/>
          </w:tcPr>
          <w:p>
            <w:r/>
            <w:r>
              <w:rPr>
                <w:sz w:val="20"/>
              </w:rPr>
              <w:t>Tertiary Infotech Academy Pte Ltd  (UEN 201200696W)</w:t>
            </w:r>
          </w:p>
        </w:tc>
      </w:tr>
      <w:tr>
        <w:tc>
          <w:tcPr>
            <w:tcW w:type="dxa" w:w="4320"/>
            <w:shd w:val="clear" w:color="auto" w:fill="E8F0FE"/>
          </w:tcPr>
          <w:p>
            <w:r/>
            <w:r>
              <w:rPr>
                <w:b/>
                <w:sz w:val="20"/>
              </w:rPr>
              <w:t>Duration</w:t>
            </w:r>
          </w:p>
        </w:tc>
        <w:tc>
          <w:tcPr>
            <w:tcW w:type="dxa" w:w="4320"/>
          </w:tcPr>
          <w:p>
            <w:r/>
            <w:r>
              <w:rPr>
                <w:sz w:val="20"/>
              </w:rPr>
              <w:t>3 days · 8 training hours per day (24 hours)</w:t>
            </w:r>
          </w:p>
        </w:tc>
      </w:tr>
      <w:tr>
        <w:tc>
          <w:tcPr>
            <w:tcW w:type="dxa" w:w="4320"/>
            <w:shd w:val="clear" w:color="auto" w:fill="E8F0FE"/>
          </w:tcPr>
          <w:p>
            <w:r/>
            <w:r>
              <w:rPr>
                <w:b/>
                <w:sz w:val="20"/>
              </w:rPr>
              <w:t>Daily Timing</w:t>
            </w:r>
          </w:p>
        </w:tc>
        <w:tc>
          <w:tcPr>
            <w:tcW w:type="dxa" w:w="4320"/>
          </w:tcPr>
          <w:p>
            <w:r/>
            <w:r>
              <w:rPr>
                <w:sz w:val="20"/>
              </w:rPr>
              <w:t>9:30 am – 6:30 pm (1-hour lunch; tea breaks within training time)</w:t>
            </w:r>
          </w:p>
        </w:tc>
      </w:tr>
      <w:tr>
        <w:tc>
          <w:tcPr>
            <w:tcW w:type="dxa" w:w="4320"/>
            <w:shd w:val="clear" w:color="auto" w:fill="E8F0FE"/>
          </w:tcPr>
          <w:p>
            <w:r/>
            <w:r>
              <w:rPr>
                <w:b/>
                <w:sz w:val="20"/>
              </w:rPr>
              <w:t>Mode</w:t>
            </w:r>
          </w:p>
        </w:tc>
        <w:tc>
          <w:tcPr>
            <w:tcW w:type="dxa" w:w="4320"/>
          </w:tcPr>
          <w:p>
            <w:r/>
            <w:r>
              <w:rPr>
                <w:sz w:val="20"/>
              </w:rPr>
              <w:t>Instructor-led, hands-on labs using uv, an AI coding assistant, VS Code and Docker</w:t>
            </w:r>
          </w:p>
        </w:tc>
      </w:tr>
      <w:tr>
        <w:tc>
          <w:tcPr>
            <w:tcW w:type="dxa" w:w="4320"/>
            <w:shd w:val="clear" w:color="auto" w:fill="E8F0FE"/>
          </w:tcPr>
          <w:p>
            <w:r/>
            <w:r>
              <w:rPr>
                <w:b/>
                <w:sz w:val="20"/>
              </w:rPr>
              <w:t>Trainer</w:t>
            </w:r>
          </w:p>
        </w:tc>
        <w:tc>
          <w:tcPr>
            <w:tcW w:type="dxa" w:w="4320"/>
          </w:tcPr>
          <w:p>
            <w:r/>
            <w:r>
              <w:rPr>
                <w:sz w:val="20"/>
              </w:rPr>
              <w:t>Dr. Alfred Ang</w:t>
            </w:r>
          </w:p>
        </w:tc>
      </w:tr>
    </w:tbl>
    <w:p>
      <w:pPr>
        <w:pStyle w:val="Heading1"/>
      </w:pPr>
      <w:r>
        <w:t>Learning Outcomes</w:t>
      </w:r>
    </w:p>
    <w:p>
      <w:r>
        <w:t>On completion of this course, learners will be able to:</w:t>
      </w:r>
    </w:p>
    <w:p>
      <w:pPr>
        <w:pStyle w:val="ListBullet"/>
      </w:pPr>
      <w:r>
        <w:rPr>
          <w:sz w:val="21"/>
        </w:rPr>
        <w:t>LO1: Apply vibe coding practices — set up a reproducible Python project with uv, and use an AI coding assistant to scaffold, explain and refactor working code.</w:t>
      </w:r>
    </w:p>
    <w:p>
      <w:pPr>
        <w:pStyle w:val="ListBullet"/>
      </w:pPr>
      <w:r>
        <w:rPr>
          <w:sz w:val="21"/>
        </w:rPr>
        <w:t>LO2: Design and implement object-oriented Python — classes, encapsulation, inheritance and composition — using AI-assisted conversational design.</w:t>
      </w:r>
    </w:p>
    <w:p>
      <w:pPr>
        <w:pStyle w:val="ListBullet"/>
      </w:pPr>
      <w:r>
        <w:rPr>
          <w:sz w:val="21"/>
        </w:rPr>
        <w:t>LO3: Build data analytics pipelines with pandas — load, clean, transform, group and aggregate realistic datasets into reportable results.</w:t>
      </w:r>
    </w:p>
    <w:p>
      <w:pPr>
        <w:pStyle w:val="ListBullet"/>
      </w:pPr>
      <w:r>
        <w:rPr>
          <w:sz w:val="21"/>
        </w:rPr>
        <w:t>LO4: Model and validate data with Pydantic and expose it through a FastAPI application with typed request and response models.</w:t>
      </w:r>
    </w:p>
    <w:p>
      <w:pPr>
        <w:pStyle w:val="ListBullet"/>
      </w:pPr>
      <w:r>
        <w:rPr>
          <w:sz w:val="21"/>
        </w:rPr>
        <w:t>LO5: Package and deploy a Python application — dependency locking, configuration, containerisation and a running deployed service.</w:t>
      </w:r>
    </w:p>
    <w:p>
      <w:pPr>
        <w:pStyle w:val="Heading1"/>
      </w:pPr>
      <w:r>
        <w:t>Assessment</w:t>
      </w:r>
    </w:p>
    <w:p>
      <w:pPr>
        <w:pStyle w:val="ListBullet"/>
      </w:pPr>
      <w:r>
        <w:rPr>
          <w:sz w:val="21"/>
        </w:rPr>
        <w:t>Written Assessment (WA) — Short-Answer Questions (SAQ), 50 minutes, open book.</w:t>
      </w:r>
    </w:p>
    <w:p>
      <w:pPr>
        <w:pStyle w:val="ListBullet"/>
      </w:pPr>
      <w:r>
        <w:rPr>
          <w:sz w:val="21"/>
        </w:rPr>
        <w:t>Case Study (CS) — a CardGuard scenario with practical tasks drawn from the labs, 80 minutes, open book.</w:t>
      </w:r>
    </w:p>
    <w:p>
      <w:pPr>
        <w:pStyle w:val="ListBullet"/>
      </w:pPr>
      <w:r>
        <w:rPr>
          <w:sz w:val="21"/>
        </w:rPr>
        <w:t>Format: Open Book — course slides, Learner Guide and approved materials only.</w:t>
      </w:r>
    </w:p>
    <w:p>
      <w:pPr>
        <w:pStyle w:val="ListBullet"/>
      </w:pPr>
      <w:r>
        <w:rPr>
          <w:sz w:val="21"/>
        </w:rPr>
        <w:t>Final assessment is conducted on Day 3 from 4:00 pm.</w:t>
      </w:r>
    </w:p>
    <w:p>
      <w:pPr>
        <w:pStyle w:val="ListBullet"/>
      </w:pPr>
      <w:r>
        <w:rPr>
          <w:sz w:val="21"/>
        </w:rPr>
        <w:t>A minimum of 75% attendance is required to be eligible for assessment and funding.</w:t>
      </w:r>
    </w:p>
    <w:p>
      <w:pPr>
        <w:pStyle w:val="Heading1"/>
      </w:pPr>
      <w:r>
        <w:t>Course Schedule</w:t>
      </w:r>
    </w:p>
    <w:p>
      <w:pPr>
        <w:pStyle w:val="Heading2"/>
      </w:pPr>
      <w:r>
        <w:t>Day 1 — Vibe Coding Foundations &amp; Object-Oriented Python</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9:30–10:00</w:t>
            </w:r>
          </w:p>
        </w:tc>
        <w:tc>
          <w:tcPr>
            <w:tcW w:type="dxa" w:w="1296"/>
            <w:shd w:val="clear" w:color="auto" w:fill="F3F5F8"/>
          </w:tcPr>
          <w:p>
            <w:r/>
            <w:r>
              <w:rPr>
                <w:rFonts w:ascii="Arial" w:hAnsi="Arial"/>
                <w:b w:val="0"/>
                <w:sz w:val="19"/>
              </w:rPr>
              <w:t>30 min</w:t>
            </w:r>
          </w:p>
        </w:tc>
        <w:tc>
          <w:tcPr>
            <w:tcW w:type="dxa" w:w="6840"/>
            <w:shd w:val="clear" w:color="auto" w:fill="F3F5F8"/>
          </w:tcPr>
          <w:p>
            <w:r/>
            <w:r>
              <w:rPr>
                <w:rFonts w:ascii="Arial" w:hAnsi="Arial"/>
                <w:b w:val="0"/>
                <w:sz w:val="19"/>
              </w:rPr>
              <w:t>Welcome, course introduction, ground rules and mandatory digital attendance (AM)</w:t>
            </w:r>
          </w:p>
        </w:tc>
      </w:tr>
      <w:tr>
        <w:tc>
          <w:tcPr>
            <w:tcW w:type="dxa" w:w="1656"/>
            <w:shd w:val="clear" w:color="auto" w:fill="E8F0FE"/>
          </w:tcPr>
          <w:p>
            <w:r/>
            <w:r>
              <w:rPr>
                <w:rFonts w:ascii="Arial" w:hAnsi="Arial"/>
                <w:b/>
                <w:sz w:val="19"/>
              </w:rPr>
              <w:t>10:00–10:45</w:t>
            </w:r>
          </w:p>
        </w:tc>
        <w:tc>
          <w:tcPr>
            <w:tcW w:type="dxa" w:w="1296"/>
            <w:shd w:val="clear" w:color="auto" w:fill="E8F0FE"/>
          </w:tcPr>
          <w:p>
            <w:r/>
            <w:r>
              <w:rPr>
                <w:rFonts w:ascii="Arial" w:hAnsi="Arial"/>
                <w:b w:val="0"/>
                <w:sz w:val="19"/>
              </w:rPr>
              <w:t>45 min</w:t>
            </w:r>
          </w:p>
        </w:tc>
        <w:tc>
          <w:tcPr>
            <w:tcW w:type="dxa" w:w="6840"/>
            <w:shd w:val="clear" w:color="auto" w:fill="E8F0FE"/>
          </w:tcPr>
          <w:p>
            <w:r/>
            <w:r>
              <w:rPr>
                <w:rFonts w:ascii="Arial" w:hAnsi="Arial"/>
                <w:b/>
                <w:sz w:val="19"/>
              </w:rPr>
              <w:t>Topic 1 — Vibe Coding Foundations: uv Projects · AI Coding Assistants · Prompting Patterns · AI-Assisted Refactoring (concepts + demo)</w:t>
            </w:r>
          </w:p>
        </w:tc>
      </w:tr>
      <w:tr>
        <w:tc>
          <w:tcPr>
            <w:tcW w:type="dxa" w:w="1656"/>
            <w:shd w:val="clear" w:color="auto" w:fill="FFF4E5"/>
          </w:tcPr>
          <w:p>
            <w:r/>
            <w:r>
              <w:rPr>
                <w:rFonts w:ascii="Arial" w:hAnsi="Arial"/>
                <w:b w:val="0"/>
                <w:sz w:val="19"/>
              </w:rPr>
              <w:t>10:45–11:00</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tcPr>
          <w:p>
            <w:r/>
            <w:r>
              <w:rPr>
                <w:rFonts w:ascii="Arial" w:hAnsi="Arial"/>
                <w:b w:val="0"/>
                <w:sz w:val="19"/>
              </w:rPr>
              <w:t>11:00–13:00</w:t>
            </w:r>
          </w:p>
        </w:tc>
        <w:tc>
          <w:tcPr>
            <w:tcW w:type="dxa" w:w="1296"/>
          </w:tcPr>
          <w:p>
            <w:r/>
            <w:r>
              <w:rPr>
                <w:rFonts w:ascii="Arial" w:hAnsi="Arial"/>
                <w:b w:val="0"/>
                <w:sz w:val="19"/>
              </w:rPr>
              <w:t>120 min</w:t>
            </w:r>
          </w:p>
        </w:tc>
        <w:tc>
          <w:tcPr>
            <w:tcW w:type="dxa" w:w="6840"/>
          </w:tcPr>
          <w:p>
            <w:r/>
            <w:r>
              <w:rPr>
                <w:rFonts w:ascii="Arial" w:hAnsi="Arial"/>
                <w:b w:val="0"/>
                <w:sz w:val="19"/>
              </w:rPr>
              <w:t>Hands-on: Lab 1: Set Up a Reproducible Python Project with uv; Lab 2: Write Effective Prompts for an AI Coding Assistant; Lab 3: Review and Correct AI-Generated Code</w:t>
            </w:r>
          </w:p>
        </w:tc>
      </w:tr>
      <w:tr>
        <w:tc>
          <w:tcPr>
            <w:tcW w:type="dxa" w:w="1656"/>
            <w:shd w:val="clear" w:color="auto" w:fill="FDE9D9"/>
          </w:tcPr>
          <w:p>
            <w:r/>
            <w:r>
              <w:rPr>
                <w:rFonts w:ascii="Arial" w:hAnsi="Arial"/>
                <w:b w:val="0"/>
                <w:sz w:val="19"/>
              </w:rPr>
              <w:t>13:00–14:00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tcPr>
          <w:p>
            <w:r/>
            <w:r>
              <w:rPr>
                <w:rFonts w:ascii="Arial" w:hAnsi="Arial"/>
                <w:b w:val="0"/>
                <w:sz w:val="19"/>
              </w:rPr>
              <w:t>14:00–15:30</w:t>
            </w:r>
          </w:p>
        </w:tc>
        <w:tc>
          <w:tcPr>
            <w:tcW w:type="dxa" w:w="1296"/>
          </w:tcPr>
          <w:p>
            <w:r/>
            <w:r>
              <w:rPr>
                <w:rFonts w:ascii="Arial" w:hAnsi="Arial"/>
                <w:b w:val="0"/>
                <w:sz w:val="19"/>
              </w:rPr>
              <w:t>90 min</w:t>
            </w:r>
          </w:p>
        </w:tc>
        <w:tc>
          <w:tcPr>
            <w:tcW w:type="dxa" w:w="6840"/>
          </w:tcPr>
          <w:p>
            <w:r/>
            <w:r>
              <w:rPr>
                <w:rFonts w:ascii="Arial" w:hAnsi="Arial"/>
                <w:b w:val="0"/>
                <w:sz w:val="19"/>
              </w:rPr>
              <w:t>Hands-on: Lab 4: Refactor Working Code Conversationally. Topic 2 — Object-Oriented Programming in Python: Classes · Encapsulation · Inheritance · Composition · Dunder Methods (concepts)</w:t>
            </w:r>
          </w:p>
        </w:tc>
      </w:tr>
      <w:tr>
        <w:tc>
          <w:tcPr>
            <w:tcW w:type="dxa" w:w="1656"/>
            <w:shd w:val="clear" w:color="auto" w:fill="FFF4E5"/>
          </w:tcPr>
          <w:p>
            <w:r/>
            <w:r>
              <w:rPr>
                <w:rFonts w:ascii="Arial" w:hAnsi="Arial"/>
                <w:b w:val="0"/>
                <w:sz w:val="19"/>
              </w:rPr>
              <w:t>15:30–15:45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tcPr>
          <w:p>
            <w:r/>
            <w:r>
              <w:rPr>
                <w:rFonts w:ascii="Arial" w:hAnsi="Arial"/>
                <w:b w:val="0"/>
                <w:sz w:val="19"/>
              </w:rPr>
              <w:t>15:45–18:15</w:t>
            </w:r>
          </w:p>
        </w:tc>
        <w:tc>
          <w:tcPr>
            <w:tcW w:type="dxa" w:w="1296"/>
          </w:tcPr>
          <w:p>
            <w:r/>
            <w:r>
              <w:rPr>
                <w:rFonts w:ascii="Arial" w:hAnsi="Arial"/>
                <w:b w:val="0"/>
                <w:sz w:val="19"/>
              </w:rPr>
              <w:t>150 min</w:t>
            </w:r>
          </w:p>
        </w:tc>
        <w:tc>
          <w:tcPr>
            <w:tcW w:type="dxa" w:w="6840"/>
          </w:tcPr>
          <w:p>
            <w:r/>
            <w:r>
              <w:rPr>
                <w:rFonts w:ascii="Arial" w:hAnsi="Arial"/>
                <w:b w:val="0"/>
                <w:sz w:val="19"/>
              </w:rPr>
              <w:t>Hands-on: Lab 5: Model a Domain with Classes and Dunder Methods; Lab 6: Encapsulate State with Properties and Validation; Lab 7: Build a Rule Hierarchy with Inheritance and Polymorphism; Lab 8: Compose Rules into an Engine</w:t>
            </w:r>
          </w:p>
        </w:tc>
      </w:tr>
      <w:tr>
        <w:tc>
          <w:tcPr>
            <w:tcW w:type="dxa" w:w="1656"/>
            <w:shd w:val="clear" w:color="auto" w:fill="F3F5F8"/>
          </w:tcPr>
          <w:p>
            <w:r/>
            <w:r>
              <w:rPr>
                <w:rFonts w:ascii="Arial" w:hAnsi="Arial"/>
                <w:b w:val="0"/>
                <w:sz w:val="19"/>
              </w:rPr>
              <w:t>18:15–18:30</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1 recap, Q&amp;A and PM digital attendance</w:t>
            </w:r>
          </w:p>
        </w:tc>
      </w:tr>
    </w:tbl>
    <w:p>
      <w:r>
        <w:rPr>
          <w:i/>
          <w:color w:val="555B66"/>
          <w:sz w:val="19"/>
        </w:rPr>
        <w:t>Total training time: 480 minutes (8 hours).</w:t>
      </w:r>
    </w:p>
    <w:p>
      <w:pPr>
        <w:pStyle w:val="Heading2"/>
      </w:pPr>
      <w:r>
        <w:t>Day 2 — Data Analytics with pandas, Pydantic &amp; FastAPI</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9:30–9:45</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1 recap and mandatory digital attendance (AM)</w:t>
            </w:r>
          </w:p>
        </w:tc>
      </w:tr>
      <w:tr>
        <w:tc>
          <w:tcPr>
            <w:tcW w:type="dxa" w:w="1656"/>
            <w:shd w:val="clear" w:color="auto" w:fill="E8F0FE"/>
          </w:tcPr>
          <w:p>
            <w:r/>
            <w:r>
              <w:rPr>
                <w:rFonts w:ascii="Arial" w:hAnsi="Arial"/>
                <w:b/>
                <w:sz w:val="19"/>
              </w:rPr>
              <w:t>9:45–10:45</w:t>
            </w:r>
          </w:p>
        </w:tc>
        <w:tc>
          <w:tcPr>
            <w:tcW w:type="dxa" w:w="1296"/>
            <w:shd w:val="clear" w:color="auto" w:fill="E8F0FE"/>
          </w:tcPr>
          <w:p>
            <w:r/>
            <w:r>
              <w:rPr>
                <w:rFonts w:ascii="Arial" w:hAnsi="Arial"/>
                <w:b w:val="0"/>
                <w:sz w:val="19"/>
              </w:rPr>
              <w:t>60 min</w:t>
            </w:r>
          </w:p>
        </w:tc>
        <w:tc>
          <w:tcPr>
            <w:tcW w:type="dxa" w:w="6840"/>
            <w:shd w:val="clear" w:color="auto" w:fill="E8F0FE"/>
          </w:tcPr>
          <w:p>
            <w:r/>
            <w:r>
              <w:rPr>
                <w:rFonts w:ascii="Arial" w:hAnsi="Arial"/>
                <w:b/>
                <w:sz w:val="19"/>
              </w:rPr>
              <w:t>Topic 3 — Data Analytics with pandas: DataFrames · Cleaning · Transformation · GroupBy · Aggregation · Reporting (concepts + demo)</w:t>
            </w:r>
          </w:p>
        </w:tc>
      </w:tr>
      <w:tr>
        <w:tc>
          <w:tcPr>
            <w:tcW w:type="dxa" w:w="1656"/>
            <w:shd w:val="clear" w:color="auto" w:fill="FFF4E5"/>
          </w:tcPr>
          <w:p>
            <w:r/>
            <w:r>
              <w:rPr>
                <w:rFonts w:ascii="Arial" w:hAnsi="Arial"/>
                <w:b w:val="0"/>
                <w:sz w:val="19"/>
              </w:rPr>
              <w:t>10:45–11:00</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tcPr>
          <w:p>
            <w:r/>
            <w:r>
              <w:rPr>
                <w:rFonts w:ascii="Arial" w:hAnsi="Arial"/>
                <w:b w:val="0"/>
                <w:sz w:val="19"/>
              </w:rPr>
              <w:t>11:00–13:00</w:t>
            </w:r>
          </w:p>
        </w:tc>
        <w:tc>
          <w:tcPr>
            <w:tcW w:type="dxa" w:w="1296"/>
          </w:tcPr>
          <w:p>
            <w:r/>
            <w:r>
              <w:rPr>
                <w:rFonts w:ascii="Arial" w:hAnsi="Arial"/>
                <w:b w:val="0"/>
                <w:sz w:val="19"/>
              </w:rPr>
              <w:t>120 min</w:t>
            </w:r>
          </w:p>
        </w:tc>
        <w:tc>
          <w:tcPr>
            <w:tcW w:type="dxa" w:w="6840"/>
          </w:tcPr>
          <w:p>
            <w:r/>
            <w:r>
              <w:rPr>
                <w:rFonts w:ascii="Arial" w:hAnsi="Arial"/>
                <w:b w:val="0"/>
                <w:sz w:val="19"/>
              </w:rPr>
              <w:t>Hands-on: Lab 9: Load and Explore Transactions with pandas; Lab 10: Handle Errors with Exceptions</w:t>
            </w:r>
          </w:p>
        </w:tc>
      </w:tr>
      <w:tr>
        <w:tc>
          <w:tcPr>
            <w:tcW w:type="dxa" w:w="1656"/>
            <w:shd w:val="clear" w:color="auto" w:fill="FDE9D9"/>
          </w:tcPr>
          <w:p>
            <w:r/>
            <w:r>
              <w:rPr>
                <w:rFonts w:ascii="Arial" w:hAnsi="Arial"/>
                <w:b w:val="0"/>
                <w:sz w:val="19"/>
              </w:rPr>
              <w:t>13:00–14:00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tcPr>
          <w:p>
            <w:r/>
            <w:r>
              <w:rPr>
                <w:rFonts w:ascii="Arial" w:hAnsi="Arial"/>
                <w:b w:val="0"/>
                <w:sz w:val="19"/>
              </w:rPr>
              <w:t>14:00–15:30</w:t>
            </w:r>
          </w:p>
        </w:tc>
        <w:tc>
          <w:tcPr>
            <w:tcW w:type="dxa" w:w="1296"/>
          </w:tcPr>
          <w:p>
            <w:r/>
            <w:r>
              <w:rPr>
                <w:rFonts w:ascii="Arial" w:hAnsi="Arial"/>
                <w:b w:val="0"/>
                <w:sz w:val="19"/>
              </w:rPr>
              <w:t>90 min</w:t>
            </w:r>
          </w:p>
        </w:tc>
        <w:tc>
          <w:tcPr>
            <w:tcW w:type="dxa" w:w="6840"/>
          </w:tcPr>
          <w:p>
            <w:r/>
            <w:r>
              <w:rPr>
                <w:rFonts w:ascii="Arial" w:hAnsi="Arial"/>
                <w:b w:val="0"/>
                <w:sz w:val="19"/>
              </w:rPr>
              <w:t>Hands-on: Lab 11: Build Per-Cardholder Baselines with GroupBy; Lab 12: Detect Velocity Bursts with Rolling Time Windows</w:t>
            </w:r>
          </w:p>
        </w:tc>
      </w:tr>
      <w:tr>
        <w:tc>
          <w:tcPr>
            <w:tcW w:type="dxa" w:w="1656"/>
            <w:shd w:val="clear" w:color="auto" w:fill="FFF4E5"/>
          </w:tcPr>
          <w:p>
            <w:r/>
            <w:r>
              <w:rPr>
                <w:rFonts w:ascii="Arial" w:hAnsi="Arial"/>
                <w:b w:val="0"/>
                <w:sz w:val="19"/>
              </w:rPr>
              <w:t>15:30–15:45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tcPr>
          <w:p>
            <w:r/>
            <w:r>
              <w:rPr>
                <w:rFonts w:ascii="Arial" w:hAnsi="Arial"/>
                <w:b w:val="0"/>
                <w:sz w:val="19"/>
              </w:rPr>
              <w:t>15:45–18:15</w:t>
            </w:r>
          </w:p>
        </w:tc>
        <w:tc>
          <w:tcPr>
            <w:tcW w:type="dxa" w:w="1296"/>
          </w:tcPr>
          <w:p>
            <w:r/>
            <w:r>
              <w:rPr>
                <w:rFonts w:ascii="Arial" w:hAnsi="Arial"/>
                <w:b w:val="0"/>
                <w:sz w:val="19"/>
              </w:rPr>
              <w:t>150 min</w:t>
            </w:r>
          </w:p>
        </w:tc>
        <w:tc>
          <w:tcPr>
            <w:tcW w:type="dxa" w:w="6840"/>
          </w:tcPr>
          <w:p>
            <w:r/>
            <w:r>
              <w:rPr>
                <w:rFonts w:ascii="Arial" w:hAnsi="Arial"/>
                <w:b w:val="0"/>
                <w:sz w:val="19"/>
              </w:rPr>
              <w:t>Topic 4 — Data Modelling with Pydantic and FastAPI: Typed Models · Validation · Endpoints · Request/Response Schemas · Auto Docs (concepts). Hands-on: Lab 13: Replace Hand-Written Validation with Pydantic Models; Lab 14: Expose the Screening Engine as a FastAPI Endpoint</w:t>
            </w:r>
          </w:p>
        </w:tc>
      </w:tr>
      <w:tr>
        <w:tc>
          <w:tcPr>
            <w:tcW w:type="dxa" w:w="1656"/>
            <w:shd w:val="clear" w:color="auto" w:fill="F3F5F8"/>
          </w:tcPr>
          <w:p>
            <w:r/>
            <w:r>
              <w:rPr>
                <w:rFonts w:ascii="Arial" w:hAnsi="Arial"/>
                <w:b w:val="0"/>
                <w:sz w:val="19"/>
              </w:rPr>
              <w:t>18:15–18:30</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2 recap, Q&amp;A and PM digital attendance</w:t>
            </w:r>
          </w:p>
        </w:tc>
      </w:tr>
    </w:tbl>
    <w:p>
      <w:r>
        <w:rPr>
          <w:i/>
          <w:color w:val="555B66"/>
          <w:sz w:val="19"/>
        </w:rPr>
        <w:t>Total training time: 480 minutes (8 hours).</w:t>
      </w:r>
    </w:p>
    <w:p>
      <w:pPr>
        <w:pStyle w:val="Heading2"/>
      </w:pPr>
      <w:r>
        <w:t>Day 3 — FastAPI, Packaging, Deployment &amp; Assessment</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9:30–9:45</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2 recap and mandatory digital attendance (AM)</w:t>
            </w:r>
          </w:p>
        </w:tc>
      </w:tr>
      <w:tr>
        <w:tc>
          <w:tcPr>
            <w:tcW w:type="dxa" w:w="1656"/>
          </w:tcPr>
          <w:p>
            <w:r/>
            <w:r>
              <w:rPr>
                <w:rFonts w:ascii="Arial" w:hAnsi="Arial"/>
                <w:b w:val="0"/>
                <w:sz w:val="19"/>
              </w:rPr>
              <w:t>9:45–11:00</w:t>
            </w:r>
          </w:p>
        </w:tc>
        <w:tc>
          <w:tcPr>
            <w:tcW w:type="dxa" w:w="1296"/>
          </w:tcPr>
          <w:p>
            <w:r/>
            <w:r>
              <w:rPr>
                <w:rFonts w:ascii="Arial" w:hAnsi="Arial"/>
                <w:b w:val="0"/>
                <w:sz w:val="19"/>
              </w:rPr>
              <w:t>75 min</w:t>
            </w:r>
          </w:p>
        </w:tc>
        <w:tc>
          <w:tcPr>
            <w:tcW w:type="dxa" w:w="6840"/>
          </w:tcPr>
          <w:p>
            <w:r/>
            <w:r>
              <w:rPr>
                <w:rFonts w:ascii="Arial" w:hAnsi="Arial"/>
                <w:b w:val="0"/>
                <w:sz w:val="19"/>
              </w:rPr>
              <w:t>Hands-on: Lab 15: Persist Screening Decisions to SQLite; Lab 16: Test the API with pytest and httpx</w:t>
            </w:r>
          </w:p>
        </w:tc>
      </w:tr>
      <w:tr>
        <w:tc>
          <w:tcPr>
            <w:tcW w:type="dxa" w:w="1656"/>
            <w:shd w:val="clear" w:color="auto" w:fill="FFF4E5"/>
          </w:tcPr>
          <w:p>
            <w:r/>
            <w:r>
              <w:rPr>
                <w:rFonts w:ascii="Arial" w:hAnsi="Arial"/>
                <w:b w:val="0"/>
                <w:sz w:val="19"/>
              </w:rPr>
              <w:t>11:00–11:15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tcPr>
          <w:p>
            <w:r/>
            <w:r>
              <w:rPr>
                <w:rFonts w:ascii="Arial" w:hAnsi="Arial"/>
                <w:b w:val="0"/>
                <w:sz w:val="19"/>
              </w:rPr>
              <w:t>11:15–13:00</w:t>
            </w:r>
          </w:p>
        </w:tc>
        <w:tc>
          <w:tcPr>
            <w:tcW w:type="dxa" w:w="1296"/>
          </w:tcPr>
          <w:p>
            <w:r/>
            <w:r>
              <w:rPr>
                <w:rFonts w:ascii="Arial" w:hAnsi="Arial"/>
                <w:b w:val="0"/>
                <w:sz w:val="19"/>
              </w:rPr>
              <w:t>105 min</w:t>
            </w:r>
          </w:p>
        </w:tc>
        <w:tc>
          <w:tcPr>
            <w:tcW w:type="dxa" w:w="6840"/>
          </w:tcPr>
          <w:p>
            <w:r/>
            <w:r>
              <w:rPr>
                <w:rFonts w:ascii="Arial" w:hAnsi="Arial"/>
                <w:b w:val="0"/>
                <w:sz w:val="19"/>
              </w:rPr>
              <w:t>Topic 5 — Packaging and Deployment: uv Lockfiles · Configuration · Containers · Deploying a Service (concepts). Hands-on: Lab 17: Build a Fraud Analyst Dashboard with Streamlit</w:t>
            </w:r>
          </w:p>
        </w:tc>
      </w:tr>
      <w:tr>
        <w:tc>
          <w:tcPr>
            <w:tcW w:type="dxa" w:w="1656"/>
            <w:shd w:val="clear" w:color="auto" w:fill="FDE9D9"/>
          </w:tcPr>
          <w:p>
            <w:r/>
            <w:r>
              <w:rPr>
                <w:rFonts w:ascii="Arial" w:hAnsi="Arial"/>
                <w:b w:val="0"/>
                <w:sz w:val="19"/>
              </w:rPr>
              <w:t>13:00–14:00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tcPr>
          <w:p>
            <w:r/>
            <w:r>
              <w:rPr>
                <w:rFonts w:ascii="Arial" w:hAnsi="Arial"/>
                <w:b w:val="0"/>
                <w:sz w:val="19"/>
              </w:rPr>
              <w:t>14:00–15:05</w:t>
            </w:r>
          </w:p>
        </w:tc>
        <w:tc>
          <w:tcPr>
            <w:tcW w:type="dxa" w:w="1296"/>
          </w:tcPr>
          <w:p>
            <w:r/>
            <w:r>
              <w:rPr>
                <w:rFonts w:ascii="Arial" w:hAnsi="Arial"/>
                <w:b w:val="0"/>
                <w:sz w:val="19"/>
              </w:rPr>
              <w:t>65 min</w:t>
            </w:r>
          </w:p>
        </w:tc>
        <w:tc>
          <w:tcPr>
            <w:tcW w:type="dxa" w:w="6840"/>
          </w:tcPr>
          <w:p>
            <w:r/>
            <w:r>
              <w:rPr>
                <w:rFonts w:ascii="Arial" w:hAnsi="Arial"/>
                <w:b w:val="0"/>
                <w:sz w:val="19"/>
              </w:rPr>
              <w:t>Hands-on: Lab 18: Externalise Configuration and Protect Secrets; Lab 19: Lock Dependencies and Containerise the API; Lab 20: Deploy the Full Stack with Docker Compose</w:t>
            </w:r>
          </w:p>
        </w:tc>
      </w:tr>
      <w:tr>
        <w:tc>
          <w:tcPr>
            <w:tcW w:type="dxa" w:w="1656"/>
            <w:shd w:val="clear" w:color="auto" w:fill="FFF4E5"/>
          </w:tcPr>
          <w:p>
            <w:r/>
            <w:r>
              <w:rPr>
                <w:rFonts w:ascii="Arial" w:hAnsi="Arial"/>
                <w:b w:val="0"/>
                <w:sz w:val="19"/>
              </w:rPr>
              <w:t>15:05–15:20</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7EE"/>
          </w:tcPr>
          <w:p>
            <w:r/>
            <w:r>
              <w:rPr>
                <w:rFonts w:ascii="Arial" w:hAnsi="Arial"/>
                <w:b/>
                <w:sz w:val="19"/>
              </w:rPr>
              <w:t>15:20–15:35</w:t>
            </w:r>
          </w:p>
        </w:tc>
        <w:tc>
          <w:tcPr>
            <w:tcW w:type="dxa" w:w="1296"/>
            <w:shd w:val="clear" w:color="auto" w:fill="E8F7EE"/>
          </w:tcPr>
          <w:p>
            <w:r/>
            <w:r>
              <w:rPr>
                <w:rFonts w:ascii="Arial" w:hAnsi="Arial"/>
                <w:b w:val="0"/>
                <w:sz w:val="19"/>
              </w:rPr>
              <w:t>15 min</w:t>
            </w:r>
          </w:p>
        </w:tc>
        <w:tc>
          <w:tcPr>
            <w:tcW w:type="dxa" w:w="6840"/>
            <w:shd w:val="clear" w:color="auto" w:fill="E8F7EE"/>
          </w:tcPr>
          <w:p>
            <w:r/>
            <w:r>
              <w:rPr>
                <w:rFonts w:ascii="Arial" w:hAnsi="Arial"/>
                <w:b/>
                <w:sz w:val="19"/>
              </w:rPr>
              <w:t>Briefing for Assessment</w:t>
            </w:r>
          </w:p>
        </w:tc>
      </w:tr>
      <w:tr>
        <w:tc>
          <w:tcPr>
            <w:tcW w:type="dxa" w:w="1656"/>
            <w:shd w:val="clear" w:color="auto" w:fill="E8F7EE"/>
          </w:tcPr>
          <w:p>
            <w:r/>
            <w:r>
              <w:rPr>
                <w:rFonts w:ascii="Arial" w:hAnsi="Arial"/>
                <w:b/>
                <w:sz w:val="19"/>
              </w:rPr>
              <w:t>15:35–16:25</w:t>
            </w:r>
          </w:p>
        </w:tc>
        <w:tc>
          <w:tcPr>
            <w:tcW w:type="dxa" w:w="1296"/>
            <w:shd w:val="clear" w:color="auto" w:fill="E8F7EE"/>
          </w:tcPr>
          <w:p>
            <w:r/>
            <w:r>
              <w:rPr>
                <w:rFonts w:ascii="Arial" w:hAnsi="Arial"/>
                <w:b w:val="0"/>
                <w:sz w:val="19"/>
              </w:rPr>
              <w:t>50 min</w:t>
            </w:r>
          </w:p>
        </w:tc>
        <w:tc>
          <w:tcPr>
            <w:tcW w:type="dxa" w:w="6840"/>
            <w:shd w:val="clear" w:color="auto" w:fill="E8F7EE"/>
          </w:tcPr>
          <w:p>
            <w:r/>
            <w:r>
              <w:rPr>
                <w:rFonts w:ascii="Arial" w:hAnsi="Arial"/>
                <w:b/>
                <w:sz w:val="19"/>
              </w:rPr>
              <w:t>Written Assessment (WA) — Short-Answer Questions (SAQ), 50 minutes, open book</w:t>
            </w:r>
          </w:p>
        </w:tc>
      </w:tr>
      <w:tr>
        <w:tc>
          <w:tcPr>
            <w:tcW w:type="dxa" w:w="1656"/>
            <w:shd w:val="clear" w:color="auto" w:fill="E8F7EE"/>
          </w:tcPr>
          <w:p>
            <w:r/>
            <w:r>
              <w:rPr>
                <w:rFonts w:ascii="Arial" w:hAnsi="Arial"/>
                <w:b/>
                <w:sz w:val="19"/>
              </w:rPr>
              <w:t>16:25–17:45</w:t>
            </w:r>
          </w:p>
        </w:tc>
        <w:tc>
          <w:tcPr>
            <w:tcW w:type="dxa" w:w="1296"/>
            <w:shd w:val="clear" w:color="auto" w:fill="E8F7EE"/>
          </w:tcPr>
          <w:p>
            <w:r/>
            <w:r>
              <w:rPr>
                <w:rFonts w:ascii="Arial" w:hAnsi="Arial"/>
                <w:b w:val="0"/>
                <w:sz w:val="19"/>
              </w:rPr>
              <w:t>80 min</w:t>
            </w:r>
          </w:p>
        </w:tc>
        <w:tc>
          <w:tcPr>
            <w:tcW w:type="dxa" w:w="6840"/>
            <w:shd w:val="clear" w:color="auto" w:fill="E8F7EE"/>
          </w:tcPr>
          <w:p>
            <w:r/>
            <w:r>
              <w:rPr>
                <w:rFonts w:ascii="Arial" w:hAnsi="Arial"/>
                <w:b/>
                <w:sz w:val="19"/>
              </w:rPr>
              <w:t>Case Study (CS) — a CardGuard scenario with practical tasks drawn from the labs, 80 minutes, open book</w:t>
            </w:r>
          </w:p>
        </w:tc>
      </w:tr>
      <w:tr>
        <w:tc>
          <w:tcPr>
            <w:tcW w:type="dxa" w:w="1656"/>
            <w:shd w:val="clear" w:color="auto" w:fill="F3F5F8"/>
          </w:tcPr>
          <w:p>
            <w:r/>
            <w:r>
              <w:rPr>
                <w:rFonts w:ascii="Arial" w:hAnsi="Arial"/>
                <w:b w:val="0"/>
                <w:sz w:val="19"/>
              </w:rPr>
              <w:t>17:45–18:30</w:t>
            </w:r>
          </w:p>
        </w:tc>
        <w:tc>
          <w:tcPr>
            <w:tcW w:type="dxa" w:w="1296"/>
            <w:shd w:val="clear" w:color="auto" w:fill="F3F5F8"/>
          </w:tcPr>
          <w:p>
            <w:r/>
            <w:r>
              <w:rPr>
                <w:rFonts w:ascii="Arial" w:hAnsi="Arial"/>
                <w:b w:val="0"/>
                <w:sz w:val="19"/>
              </w:rPr>
              <w:t>45 min</w:t>
            </w:r>
          </w:p>
        </w:tc>
        <w:tc>
          <w:tcPr>
            <w:tcW w:type="dxa" w:w="6840"/>
            <w:shd w:val="clear" w:color="auto" w:fill="F3F5F8"/>
          </w:tcPr>
          <w:p>
            <w:r/>
            <w:r>
              <w:rPr>
                <w:rFonts w:ascii="Arial" w:hAnsi="Arial"/>
                <w:b w:val="0"/>
                <w:sz w:val="19"/>
              </w:rPr>
              <w:t>TRAQOM survey, assessment digital attendance, sign Assessment Summary Record</w:t>
            </w:r>
          </w:p>
        </w:tc>
      </w:tr>
    </w:tbl>
    <w:p>
      <w:r>
        <w:rPr>
          <w:i/>
          <w:color w:val="555B66"/>
          <w:sz w:val="19"/>
        </w:rPr>
        <w:t>Total training time: 480 minutes (8 hours).</w:t>
      </w:r>
    </w:p>
    <w:p>
      <w:pPr>
        <w:pStyle w:val="Heading1"/>
      </w:pPr>
      <w:r>
        <w:t>Lab Reference (aligned to exam skill areas)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rFonts w:ascii="Arial" w:hAnsi="Arial"/>
                <w:b/>
                <w:color w:val="FFFFFF"/>
                <w:sz w:val="20"/>
              </w:rPr>
              <w:t>Topic / Exam skill area</w:t>
            </w:r>
          </w:p>
        </w:tc>
        <w:tc>
          <w:tcPr>
            <w:tcW w:type="dxa" w:w="2880"/>
            <w:shd w:val="clear" w:color="auto" w:fill="1F6FEB"/>
          </w:tcPr>
          <w:p>
            <w:r/>
            <w:r>
              <w:rPr>
                <w:rFonts w:ascii="Arial" w:hAnsi="Arial"/>
                <w:b/>
                <w:color w:val="FFFFFF"/>
                <w:sz w:val="20"/>
              </w:rPr>
              <w:t>Weighting</w:t>
            </w:r>
          </w:p>
        </w:tc>
        <w:tc>
          <w:tcPr>
            <w:tcW w:type="dxa" w:w="2880"/>
            <w:shd w:val="clear" w:color="auto" w:fill="1F6FEB"/>
          </w:tcPr>
          <w:p>
            <w:r/>
            <w:r>
              <w:rPr>
                <w:rFonts w:ascii="Arial" w:hAnsi="Arial"/>
                <w:b/>
                <w:color w:val="FFFFFF"/>
                <w:sz w:val="20"/>
              </w:rPr>
              <w:t>Labs</w:t>
            </w:r>
          </w:p>
        </w:tc>
      </w:tr>
      <w:tr>
        <w:tc>
          <w:tcPr>
            <w:tcW w:type="dxa" w:w="2880"/>
            <w:shd w:val="clear" w:color="auto" w:fill="E8F0FE"/>
          </w:tcPr>
          <w:p>
            <w:r/>
            <w:r>
              <w:rPr>
                <w:rFonts w:ascii="Arial" w:hAnsi="Arial"/>
                <w:b/>
                <w:sz w:val="19"/>
              </w:rPr>
              <w:t>Topic 01: Vibe Coding Foundations</w:t>
            </w:r>
          </w:p>
        </w:tc>
        <w:tc>
          <w:tcPr>
            <w:tcW w:type="dxa" w:w="2880"/>
            <w:shd w:val="clear" w:color="auto" w:fill="E8F0FE"/>
          </w:tcPr>
          <w:p>
            <w:r/>
            <w:r>
              <w:rPr>
                <w:rFonts w:ascii="Arial" w:hAnsi="Arial"/>
                <w:b w:val="0"/>
                <w:sz w:val="19"/>
              </w:rPr>
              <w:t>15–20%</w:t>
            </w:r>
          </w:p>
        </w:tc>
        <w:tc>
          <w:tcPr>
            <w:tcW w:type="dxa" w:w="2880"/>
          </w:tcPr>
          <w:p>
            <w:r/>
            <w:r>
              <w:rPr>
                <w:rFonts w:ascii="Arial" w:hAnsi="Arial"/>
                <w:b w:val="0"/>
                <w:sz w:val="19"/>
              </w:rPr>
              <w:t>Lab 1, Lab 2, Lab 3, Lab 4</w:t>
            </w:r>
          </w:p>
        </w:tc>
      </w:tr>
      <w:tr>
        <w:tc>
          <w:tcPr>
            <w:tcW w:type="dxa" w:w="2880"/>
            <w:shd w:val="clear" w:color="auto" w:fill="E8F0FE"/>
          </w:tcPr>
          <w:p>
            <w:r/>
            <w:r>
              <w:rPr>
                <w:rFonts w:ascii="Arial" w:hAnsi="Arial"/>
                <w:b/>
                <w:sz w:val="19"/>
              </w:rPr>
              <w:t>Topic 02: Object-Oriented Programming in Python</w:t>
            </w:r>
          </w:p>
        </w:tc>
        <w:tc>
          <w:tcPr>
            <w:tcW w:type="dxa" w:w="2880"/>
            <w:shd w:val="clear" w:color="auto" w:fill="E8F0FE"/>
          </w:tcPr>
          <w:p>
            <w:r/>
            <w:r>
              <w:rPr>
                <w:rFonts w:ascii="Arial" w:hAnsi="Arial"/>
                <w:b w:val="0"/>
                <w:sz w:val="19"/>
              </w:rPr>
              <w:t>20–25%</w:t>
            </w:r>
          </w:p>
        </w:tc>
        <w:tc>
          <w:tcPr>
            <w:tcW w:type="dxa" w:w="2880"/>
          </w:tcPr>
          <w:p>
            <w:r/>
            <w:r>
              <w:rPr>
                <w:rFonts w:ascii="Arial" w:hAnsi="Arial"/>
                <w:b w:val="0"/>
                <w:sz w:val="19"/>
              </w:rPr>
              <w:t>Lab 5, Lab 6, Lab 7, Lab 8</w:t>
            </w:r>
          </w:p>
        </w:tc>
      </w:tr>
      <w:tr>
        <w:tc>
          <w:tcPr>
            <w:tcW w:type="dxa" w:w="2880"/>
            <w:shd w:val="clear" w:color="auto" w:fill="E8F0FE"/>
          </w:tcPr>
          <w:p>
            <w:r/>
            <w:r>
              <w:rPr>
                <w:rFonts w:ascii="Arial" w:hAnsi="Arial"/>
                <w:b/>
                <w:sz w:val="19"/>
              </w:rPr>
              <w:t>Topic 03: Data Analytics with pandas</w:t>
            </w:r>
          </w:p>
        </w:tc>
        <w:tc>
          <w:tcPr>
            <w:tcW w:type="dxa" w:w="2880"/>
            <w:shd w:val="clear" w:color="auto" w:fill="E8F0FE"/>
          </w:tcPr>
          <w:p>
            <w:r/>
            <w:r>
              <w:rPr>
                <w:rFonts w:ascii="Arial" w:hAnsi="Arial"/>
                <w:b w:val="0"/>
                <w:sz w:val="19"/>
              </w:rPr>
              <w:t>20–25%</w:t>
            </w:r>
          </w:p>
        </w:tc>
        <w:tc>
          <w:tcPr>
            <w:tcW w:type="dxa" w:w="2880"/>
          </w:tcPr>
          <w:p>
            <w:r/>
            <w:r>
              <w:rPr>
                <w:rFonts w:ascii="Arial" w:hAnsi="Arial"/>
                <w:b w:val="0"/>
                <w:sz w:val="19"/>
              </w:rPr>
              <w:t>Lab 9, Lab 10, Lab 11, Lab 12</w:t>
            </w:r>
          </w:p>
        </w:tc>
      </w:tr>
      <w:tr>
        <w:tc>
          <w:tcPr>
            <w:tcW w:type="dxa" w:w="2880"/>
            <w:shd w:val="clear" w:color="auto" w:fill="E8F0FE"/>
          </w:tcPr>
          <w:p>
            <w:r/>
            <w:r>
              <w:rPr>
                <w:rFonts w:ascii="Arial" w:hAnsi="Arial"/>
                <w:b/>
                <w:sz w:val="19"/>
              </w:rPr>
              <w:t>Topic 04: Data Modelling with Pydantic and FastAPI</w:t>
            </w:r>
          </w:p>
        </w:tc>
        <w:tc>
          <w:tcPr>
            <w:tcW w:type="dxa" w:w="2880"/>
            <w:shd w:val="clear" w:color="auto" w:fill="E8F0FE"/>
          </w:tcPr>
          <w:p>
            <w:r/>
            <w:r>
              <w:rPr>
                <w:rFonts w:ascii="Arial" w:hAnsi="Arial"/>
                <w:b w:val="0"/>
                <w:sz w:val="19"/>
              </w:rPr>
              <w:t>20–25%</w:t>
            </w:r>
          </w:p>
        </w:tc>
        <w:tc>
          <w:tcPr>
            <w:tcW w:type="dxa" w:w="2880"/>
          </w:tcPr>
          <w:p>
            <w:r/>
            <w:r>
              <w:rPr>
                <w:rFonts w:ascii="Arial" w:hAnsi="Arial"/>
                <w:b w:val="0"/>
                <w:sz w:val="19"/>
              </w:rPr>
              <w:t>Lab 13, Lab 14, Lab 15, Lab 16</w:t>
            </w:r>
          </w:p>
        </w:tc>
      </w:tr>
      <w:tr>
        <w:tc>
          <w:tcPr>
            <w:tcW w:type="dxa" w:w="2880"/>
            <w:shd w:val="clear" w:color="auto" w:fill="E8F0FE"/>
          </w:tcPr>
          <w:p>
            <w:r/>
            <w:r>
              <w:rPr>
                <w:rFonts w:ascii="Arial" w:hAnsi="Arial"/>
                <w:b/>
                <w:sz w:val="19"/>
              </w:rPr>
              <w:t>Topic 05: Packaging and Deployment</w:t>
            </w:r>
          </w:p>
        </w:tc>
        <w:tc>
          <w:tcPr>
            <w:tcW w:type="dxa" w:w="2880"/>
            <w:shd w:val="clear" w:color="auto" w:fill="E8F0FE"/>
          </w:tcPr>
          <w:p>
            <w:r/>
            <w:r>
              <w:rPr>
                <w:rFonts w:ascii="Arial" w:hAnsi="Arial"/>
                <w:b w:val="0"/>
                <w:sz w:val="19"/>
              </w:rPr>
              <w:t>15–20%</w:t>
            </w:r>
          </w:p>
        </w:tc>
        <w:tc>
          <w:tcPr>
            <w:tcW w:type="dxa" w:w="2880"/>
          </w:tcPr>
          <w:p>
            <w:r/>
            <w:r>
              <w:rPr>
                <w:rFonts w:ascii="Arial" w:hAnsi="Arial"/>
                <w:b w:val="0"/>
                <w:sz w:val="19"/>
              </w:rPr>
              <w:t>Lab 17, Lab 18, Lab 19, Lab 20</w:t>
            </w:r>
          </w:p>
        </w:tc>
      </w:tr>
    </w:tbl>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