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Digital Marketing and Advertising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C1798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July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course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>
              <w:t>2.0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20 September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Non-WSQ edition: two-day course retimed to 9:30am - 5:30pm with 7.5 instructional hours per day.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Dr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· 9:30am – 5:30pm — Research, strategy and agentic content operations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· 9:30am – 5:30pm — Oversight, omnichannel publishing, ROI and optimisation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Lab-to-Topic and Slide Alignment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Agentic AI for Digital Marketing and Advertising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320"/>
          </w:tcPr>
          <w:p>
            <w:r>
              <w:t>C1798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15 instructional hours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Daily Timing</w:t>
            </w:r>
          </w:p>
        </w:tc>
        <w:tc>
          <w:tcPr>
            <w:tcW w:type="dxa" w:w="4320"/>
          </w:tcPr>
          <w:p>
            <w:r>
              <w:t>09:30–17:30 · 30-minute lunch excluded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4320"/>
          </w:tcPr>
          <w:p>
            <w:r>
              <w:t>Dr Alfred Ang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Deck</w:t>
            </w:r>
          </w:p>
        </w:tc>
        <w:tc>
          <w:tcPr>
            <w:tcW w:type="dxa" w:w="4320"/>
          </w:tcPr>
          <w:p>
            <w:r>
              <w:t>Agentic AI for Digital Marketing and Advertising (C1798)-v2.0.pptx · 208 slides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Use generative-AI deep research and agentic workflows to formulate a digital marketing strategy, measurable objectives, KPIs and ROI model.</w:t>
      </w:r>
    </w:p>
    <w:p>
      <w:pPr>
        <w:pStyle w:val="ListBullet"/>
      </w:pPr>
      <w:r>
        <w:t>LO2: Evaluate channel and campaign ROI, synthesise RACE/SOSTAC strategy models, and align recommendations with overarching marketing objectives.</w:t>
      </w:r>
    </w:p>
    <w:p>
      <w:pPr>
        <w:pStyle w:val="ListBullet"/>
      </w:pPr>
      <w:r>
        <w:t>LO3: Lead the creation of an integrated online presence across web, email, social and emerging channels with human oversight.</w:t>
      </w:r>
    </w:p>
    <w:p>
      <w:pPr>
        <w:pStyle w:val="Heading1"/>
      </w:pPr>
      <w:r>
        <w:t>Training Strategy</w:t>
      </w:r>
    </w:p>
    <w:p>
      <w:pPr>
        <w:pStyle w:val="ListBullet"/>
      </w:pPr>
      <w:r>
        <w:t>Mechanism-led visual instruction using architecture, state, data-contract, formula, chart, photorealistic section imagery and evidence slides.</w:t>
      </w:r>
    </w:p>
    <w:p>
      <w:pPr>
        <w:pStyle w:val="ListBullet"/>
      </w:pPr>
      <w:r>
        <w:t>Detailed click paths are taught through the Learner Guide and 15 self-contained lab folders, not the PPT.</w:t>
      </w:r>
    </w:p>
    <w:p>
      <w:pPr>
        <w:pStyle w:val="ListBullet"/>
      </w:pPr>
      <w:r>
        <w:t>Learners use synthetic Excel data and inactive n8n workflows; the SocialPost HTTP node stays disabled until a trainer authorises one sandbox call.</w:t>
      </w:r>
    </w:p>
    <w:p>
      <w:pPr>
        <w:pStyle w:val="ListBullet"/>
      </w:pPr>
      <w:r>
        <w:t>Human approval binds the exact SocialPost endpoint, user, platforms and payload hash before publishing.</w:t>
      </w:r>
    </w:p>
    <w:p>
      <w:pPr>
        <w:pStyle w:val="Heading1"/>
      </w:pPr>
      <w:r>
        <w:t>Detailed Course Schedule</w:t>
      </w:r>
    </w:p>
    <w:p>
      <w:pPr>
        <w:pStyle w:val="Heading2"/>
      </w:pPr>
      <w:r>
        <w:t>Day 1 · 9:30am – 5:30pm — Research, strategy and agentic content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Topic / Activity and Slide Reference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09:30–10:00</w:t>
            </w:r>
          </w:p>
        </w:tc>
        <w:tc>
          <w:tcPr>
            <w:tcW w:type="dxa" w:w="2160"/>
            <w:shd w:val="clear" w:color="auto" w:fill="EEE7F0"/>
          </w:tcPr>
          <w:p>
            <w:r>
              <w:t>30</w:t>
            </w:r>
          </w:p>
        </w:tc>
        <w:tc>
          <w:tcPr>
            <w:tcW w:type="dxa" w:w="2160"/>
            <w:shd w:val="clear" w:color="auto" w:fill="EEE7F0"/>
          </w:tcPr>
          <w:p>
            <w:r>
              <w:t>Admin</w:t>
            </w:r>
          </w:p>
        </w:tc>
        <w:tc>
          <w:tcPr>
            <w:tcW w:type="dxa" w:w="2160"/>
            <w:shd w:val="clear" w:color="auto" w:fill="EEE7F0"/>
          </w:tcPr>
          <w:p>
            <w:r>
              <w:t>Welcome, trainer profiles, course outcomes and safety boundaries — Slides 1–9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10:00–11:00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1 mechanisms: research contract, evidence lineage, source scoring and audience signals — Slides 10–47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11:00–12:45</w:t>
            </w:r>
          </w:p>
        </w:tc>
        <w:tc>
          <w:tcPr>
            <w:tcW w:type="dxa" w:w="2160"/>
            <w:shd w:val="clear" w:color="auto" w:fill="EEE7F0"/>
          </w:tcPr>
          <w:p>
            <w:r>
              <w:t>105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Labs 1–3: brief/KPI contract, evidence research and audience opportunity ranking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12:45–13:15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30</w:t>
            </w:r>
          </w:p>
        </w:tc>
        <w:tc>
          <w:tcPr>
            <w:tcW w:type="dxa" w:w="2160"/>
            <w:shd w:val="clear" w:color="auto" w:fill="EEE7F0"/>
          </w:tcPr>
          <w:p>
            <w:r>
              <w:t>Lunch</w:t>
            </w:r>
          </w:p>
        </w:tc>
        <w:tc>
          <w:tcPr>
            <w:tcW w:type="dxa" w:w="2160"/>
            <w:shd w:val="clear" w:color="auto" w:fill="EEE7F0"/>
          </w:tcPr>
          <w:p>
            <w:r>
              <w:t>Lunch break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13:15–14:15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2 mechanisms: RACE/SOSTAC, KPI contracts, ROI and attribution — Slides 48–85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14:15–15:30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75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Labs 4–6: strategy synthesis, channel economics and experiment design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15:30–16:45</w:t>
            </w:r>
          </w:p>
        </w:tc>
        <w:tc>
          <w:tcPr>
            <w:tcW w:type="dxa" w:w="2160"/>
            <w:shd w:val="clear" w:color="auto" w:fill="EEE7F0"/>
          </w:tcPr>
          <w:p>
            <w:r>
              <w:t>75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3 mechanisms and Labs 7–8: content contracts and multi-channel factory — Slides 86–123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16:45–17:15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30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 9: brand, claim, privacy and accessibility QA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17:15–17:30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15</w:t>
            </w:r>
          </w:p>
        </w:tc>
        <w:tc>
          <w:tcPr>
            <w:tcW w:type="dxa" w:w="2160"/>
            <w:shd w:val="clear" w:color="auto" w:fill="EEE7F0"/>
          </w:tcPr>
          <w:p>
            <w:r>
              <w:t>Recap</w:t>
            </w:r>
          </w:p>
        </w:tc>
        <w:tc>
          <w:tcPr>
            <w:tcW w:type="dxa" w:w="2160"/>
            <w:shd w:val="clear" w:color="auto" w:fill="EEE7F0"/>
          </w:tcPr>
          <w:p>
            <w:r>
              <w:t>Day 1 evidence review and Q&amp;A</w:t>
            </w:r>
          </w:p>
        </w:tc>
      </w:tr>
    </w:tbl>
    <w:p>
      <w:r>
        <w:rPr>
          <w:b/>
          <w:color w:val="168C8C"/>
        </w:rPr>
        <w:t>Day total: 7.5 instructional hours (9:30am – 5:30pm), excluding a 30-minute lunch.</w:t>
      </w:r>
    </w:p>
    <w:p>
      <w:pPr>
        <w:pStyle w:val="Heading2"/>
      </w:pPr>
      <w:r>
        <w:t>Day 2 · 9:30am – 5:30pm — Oversight, omnichannel publishing, ROI and optimisation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Topic / Activity and Slide Reference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09:30–09:50</w:t>
            </w:r>
          </w:p>
        </w:tc>
        <w:tc>
          <w:tcPr>
            <w:tcW w:type="dxa" w:w="2160"/>
            <w:shd w:val="clear" w:color="auto" w:fill="EEE7F0"/>
          </w:tcPr>
          <w:p>
            <w:r>
              <w:t>20</w:t>
            </w:r>
          </w:p>
        </w:tc>
        <w:tc>
          <w:tcPr>
            <w:tcW w:type="dxa" w:w="2160"/>
            <w:shd w:val="clear" w:color="auto" w:fill="EEE7F0"/>
          </w:tcPr>
          <w:p>
            <w:r>
              <w:t>Recap</w:t>
            </w:r>
          </w:p>
        </w:tc>
        <w:tc>
          <w:tcPr>
            <w:tcW w:type="dxa" w:w="2160"/>
            <w:shd w:val="clear" w:color="auto" w:fill="EEE7F0"/>
          </w:tcPr>
          <w:p>
            <w:r>
              <w:t>Day 1 recap and Q&amp;A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09:50–11:15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85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4 mechanisms: approval state, payload binding and safe publishing — Slides 124–164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11:15–12:25</w:t>
            </w:r>
          </w:p>
        </w:tc>
        <w:tc>
          <w:tcPr>
            <w:tcW w:type="dxa" w:w="2160"/>
            <w:shd w:val="clear" w:color="auto" w:fill="EEE7F0"/>
          </w:tcPr>
          <w:p>
            <w:r>
              <w:t>70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Labs 10–11: human approval and safe social publishing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12:25–12:55</w:t>
            </w:r>
          </w:p>
        </w:tc>
        <w:tc>
          <w:tcPr>
            <w:tcW w:type="dxa" w:w="2160"/>
            <w:shd w:val="clear" w:color="auto" w:fill="EEE7F0"/>
          </w:tcPr>
          <w:p>
            <w:r>
              <w:t>30</w:t>
            </w:r>
          </w:p>
        </w:tc>
        <w:tc>
          <w:tcPr>
            <w:tcW w:type="dxa" w:w="2160"/>
            <w:shd w:val="clear" w:color="auto" w:fill="EEE7F0"/>
          </w:tcPr>
          <w:p>
            <w:r>
              <w:t>Lunch</w:t>
            </w:r>
          </w:p>
        </w:tc>
        <w:tc>
          <w:tcPr>
            <w:tcW w:type="dxa" w:w="2160"/>
            <w:shd w:val="clear" w:color="auto" w:fill="EEE7F0"/>
          </w:tcPr>
          <w:p>
            <w:r>
              <w:t>Lunch break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12:55–14:40</w:t>
            </w:r>
          </w:p>
        </w:tc>
        <w:tc>
          <w:tcPr>
            <w:tcW w:type="dxa" w:w="2160"/>
            <w:shd w:val="clear" w:color="auto" w:fill="EEE7F0"/>
          </w:tcPr>
          <w:p>
            <w:r>
              <w:t>105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 12: end-to-end campaign orchestration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14:40–16:05</w:t>
            </w:r>
          </w:p>
        </w:tc>
        <w:tc>
          <w:tcPr>
            <w:tcW w:type="dxa" w:w="2160"/>
            <w:shd w:val="clear" w:color="auto" w:fill="EEE7F0"/>
          </w:tcPr>
          <w:p>
            <w:r>
              <w:t>85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5 mechanisms: event contracts, attribution and optimisation — Slides 165–204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16:05–17:30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85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</w:t>
            </w:r>
          </w:p>
        </w:tc>
        <w:tc>
          <w:tcPr>
            <w:tcW w:type="dxa" w:w="2160"/>
            <w:shd w:val="clear" w:color="auto" w:fill="EEE7F0"/>
          </w:tcPr>
          <w:p>
            <w:r>
              <w:t>Labs 13–15: performance facts, ROI dashboard and optimisation capstone</w:t>
            </w:r>
          </w:p>
        </w:tc>
      </w:tr>
    </w:tbl>
    <w:p>
      <w:r>
        <w:rPr>
          <w:b/>
          <w:color w:val="168C8C"/>
        </w:rPr>
        <w:t>Day total: 7.5 instructional hours (9:30am – 5:30pm), excluding a 30-minute lunch.</w:t>
      </w:r>
    </w:p>
    <w:p>
      <w:pPr>
        <w:pStyle w:val="Heading1"/>
      </w:pPr>
      <w:r>
        <w:t>Lab-to-Topic and Slide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Lab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Deck entry slide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