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Arial" w:hAnsi="Arial"/>
          <w:b/>
          <w:color w:val="1F6FEB"/>
          <w:sz w:val="56"/>
        </w:rPr>
        <w:t>AI Vibe Coding for Full Stack Web Development</w:t>
      </w:r>
    </w:p>
    <w:p>
      <w:pPr>
        <w:jc w:val="center"/>
      </w:pPr>
      <w:r>
        <w:rPr>
          <w:b/>
          <w:color w:val="10B981"/>
          <w:sz w:val="38"/>
        </w:rPr>
        <w:t>Lesson Plan</w:t>
      </w:r>
    </w:p>
    <w:p>
      <w:pPr>
        <w:jc w:val="center"/>
      </w:pPr>
      <w:r>
        <w:t>Course Code: C1800</w:t>
        <w:br/>
        <w:t>Version 1.0</w:t>
        <w:br/>
        <w:t>Conducted by Tertiary Infotech Academy Pte Ltd</w:t>
        <w:br/>
        <w:t>UEN: 201200696W</w:t>
      </w:r>
    </w:p>
    <w:p>
      <w:r>
        <w:br w:type="page"/>
      </w:r>
    </w:p>
    <w:p>
      <w:pPr>
        <w:pStyle w:val="Title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Version Number</w:t>
            </w:r>
          </w:p>
        </w:tc>
        <w:tc>
          <w:tcPr>
            <w:tcW w:type="dxa" w:w="216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Effective Date</w:t>
            </w:r>
          </w:p>
        </w:tc>
        <w:tc>
          <w:tcPr>
            <w:tcW w:type="dxa" w:w="216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Summary of Changes</w:t>
            </w:r>
          </w:p>
        </w:tc>
        <w:tc>
          <w:tcPr>
            <w:tcW w:type="dxa" w:w="216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Author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2026-07-11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Initial non-WSQ courseware release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Tertiary Infotech Academy</w:t>
            </w:r>
          </w:p>
        </w:tc>
      </w:tr>
    </w:tbl>
    <w:p>
      <w:pPr>
        <w:pStyle w:val="Title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Title"/>
      </w:pPr>
      <w:r>
        <w:t>1. Course Overview</w:t>
      </w:r>
    </w:p>
    <w:p>
      <w:r>
        <w:t>Intermediate | 2 days | 15 contact hours | Hands-on instructor-led training | No formal assessment</w:t>
      </w:r>
    </w:p>
    <w:p>
      <w:pPr>
        <w:pStyle w:val="Title"/>
      </w:pPr>
      <w:r>
        <w:t>2. Learning Outcomes</w:t>
      </w:r>
    </w:p>
    <w:p>
      <w:pPr>
        <w:pStyle w:val="ListBullet"/>
      </w:pPr>
      <w:r>
        <w:t>Engineer reliable agent context and prompts.</w:t>
      </w:r>
    </w:p>
    <w:p>
      <w:pPr>
        <w:pStyle w:val="ListBullet"/>
      </w:pPr>
      <w:r>
        <w:t>Build and test a typed full-stack vertical slice.</w:t>
      </w:r>
    </w:p>
    <w:p>
      <w:pPr>
        <w:pStyle w:val="ListBullet"/>
      </w:pPr>
      <w:r>
        <w:t>Automate production checks and delivery gates.</w:t>
      </w:r>
    </w:p>
    <w:p>
      <w:pPr>
        <w:pStyle w:val="ListBullet"/>
      </w:pPr>
      <w:r>
        <w:t>Create reusable non-WSQ agent tooling and an MCP-style integration.</w:t>
      </w:r>
    </w:p>
    <w:p>
      <w:pPr>
        <w:pStyle w:val="Title"/>
      </w:pPr>
      <w:r>
        <w:t>3. Detailed Schedule</w:t>
      </w:r>
    </w:p>
    <w:p>
      <w:pPr>
        <w:pStyle w:val="Heading1"/>
      </w:pPr>
      <w:r>
        <w:t>Day 1 — Principles and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Time</w:t>
            </w:r>
          </w:p>
        </w:tc>
        <w:tc>
          <w:tcPr>
            <w:tcW w:type="dxa" w:w="288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Topic / Activity</w:t>
            </w:r>
          </w:p>
        </w:tc>
        <w:tc>
          <w:tcPr>
            <w:tcW w:type="dxa" w:w="288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Minutes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09:30–10:00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Welcome, environment check, goals and responsible AI use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30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10:00–11:00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Topic 1: vibe coding, agent tools and architecture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60</w:t>
            </w:r>
          </w:p>
        </w:tc>
      </w:tr>
      <w:tr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11:00–12:15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Lab 1: agent-ready scaffold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75</w:t>
            </w:r>
          </w:p>
        </w:tc>
      </w:tr>
      <w:tr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12:15–13:00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Lab 2: context and prompt contract, part 1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45</w:t>
            </w:r>
          </w:p>
        </w:tc>
      </w:tr>
      <w:tr>
        <w:tc>
          <w:tcPr>
            <w:tcW w:type="dxa" w:w="2880"/>
            <w:vAlign w:val="center"/>
            <w:shd w:fill="FFF4CC"/>
          </w:tcPr>
          <w:p>
            <w:r>
              <w:rPr>
                <w:rFonts w:ascii="Arial" w:hAnsi="Arial"/>
                <w:b w:val="0"/>
                <w:sz w:val="18"/>
              </w:rPr>
              <w:t>13:00–13:30</w:t>
            </w:r>
          </w:p>
        </w:tc>
        <w:tc>
          <w:tcPr>
            <w:tcW w:type="dxa" w:w="2880"/>
            <w:vAlign w:val="center"/>
            <w:shd w:fill="FFF4CC"/>
          </w:tcPr>
          <w:p>
            <w:r>
              <w:rPr>
                <w:rFonts w:ascii="Arial" w:hAnsi="Arial"/>
                <w:b w:val="0"/>
                <w:sz w:val="18"/>
              </w:rPr>
              <w:t>Lunch</w:t>
            </w:r>
          </w:p>
        </w:tc>
        <w:tc>
          <w:tcPr>
            <w:tcW w:type="dxa" w:w="2880"/>
            <w:vAlign w:val="center"/>
            <w:shd w:fill="FFF4CC"/>
          </w:tcPr>
          <w:p>
            <w:r>
              <w:rPr>
                <w:rFonts w:ascii="Arial" w:hAnsi="Arial"/>
                <w:b w:val="0"/>
                <w:sz w:val="18"/>
              </w:rPr>
              <w:t>30</w:t>
            </w:r>
          </w:p>
        </w:tc>
      </w:tr>
      <w:tr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13:30–14:30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Lab 2: vertical slice and verification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60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14:30–15:15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Topic 2: frontend/backend agent workflows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45</w:t>
            </w:r>
          </w:p>
        </w:tc>
      </w:tr>
      <w:tr>
        <w:tc>
          <w:tcPr>
            <w:tcW w:type="dxa" w:w="2880"/>
            <w:vAlign w:val="center"/>
            <w:shd w:fill="FFF4CC"/>
          </w:tcPr>
          <w:p>
            <w:r>
              <w:rPr>
                <w:rFonts w:ascii="Arial" w:hAnsi="Arial"/>
                <w:b w:val="0"/>
                <w:sz w:val="18"/>
              </w:rPr>
              <w:t>15:15–15:30</w:t>
            </w:r>
          </w:p>
        </w:tc>
        <w:tc>
          <w:tcPr>
            <w:tcW w:type="dxa" w:w="2880"/>
            <w:vAlign w:val="center"/>
            <w:shd w:fill="FFF4CC"/>
          </w:tcPr>
          <w:p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2880"/>
            <w:vAlign w:val="center"/>
            <w:shd w:fill="FFF4CC"/>
          </w:tcPr>
          <w:p>
            <w:r>
              <w:rPr>
                <w:rFonts w:ascii="Arial" w:hAnsi="Arial"/>
                <w:b w:val="0"/>
                <w:sz w:val="18"/>
              </w:rPr>
              <w:t>15</w:t>
            </w:r>
          </w:p>
        </w:tc>
      </w:tr>
      <w:tr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15:30–16:30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Lab 3: accessible responsive frontend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60</w:t>
            </w:r>
          </w:p>
        </w:tc>
      </w:tr>
      <w:tr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16:30–17:20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Lab 4: API, data and integration tests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50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17:20–17:30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Review and checkpoint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10</w:t>
            </w:r>
          </w:p>
        </w:tc>
      </w:tr>
    </w:tbl>
    <w:p>
      <w:r>
        <w:t>Classroom window: 480 minutes; instructional/contact time excluding lunch: 450 minutes (7.5 hours).</w:t>
      </w:r>
    </w:p>
    <w:p>
      <w:pPr>
        <w:pStyle w:val="Heading1"/>
      </w:pPr>
      <w:r>
        <w:t>Day 2 — Delivery and orchestration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Time</w:t>
            </w:r>
          </w:p>
        </w:tc>
        <w:tc>
          <w:tcPr>
            <w:tcW w:type="dxa" w:w="288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Topic / Activity</w:t>
            </w:r>
          </w:p>
        </w:tc>
        <w:tc>
          <w:tcPr>
            <w:tcW w:type="dxa" w:w="2880"/>
            <w:vAlign w:val="center"/>
            <w:shd w:fill="1F6FEB"/>
          </w:tcPr>
          <w:p>
            <w:r>
              <w:rPr>
                <w:rFonts w:ascii="Arial" w:hAnsi="Arial"/>
                <w:b/>
                <w:sz w:val="18"/>
              </w:rPr>
              <w:t>Minutes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09:30–10:00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Recap, troubleshoot and restore checkpoint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30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10:00–10:45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Topic 3: cloud deployment and release gates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45</w:t>
            </w:r>
          </w:p>
        </w:tc>
      </w:tr>
      <w:tr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10:45–11:45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Lab 5: production build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60</w:t>
            </w:r>
          </w:p>
        </w:tc>
      </w:tr>
      <w:tr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11:45–13:00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Lab 6: GitHub Actions CI/CD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75</w:t>
            </w:r>
          </w:p>
        </w:tc>
      </w:tr>
      <w:tr>
        <w:tc>
          <w:tcPr>
            <w:tcW w:type="dxa" w:w="2880"/>
            <w:vAlign w:val="center"/>
            <w:shd w:fill="FFF4CC"/>
          </w:tcPr>
          <w:p>
            <w:r>
              <w:rPr>
                <w:rFonts w:ascii="Arial" w:hAnsi="Arial"/>
                <w:b w:val="0"/>
                <w:sz w:val="18"/>
              </w:rPr>
              <w:t>13:00–13:30</w:t>
            </w:r>
          </w:p>
        </w:tc>
        <w:tc>
          <w:tcPr>
            <w:tcW w:type="dxa" w:w="2880"/>
            <w:vAlign w:val="center"/>
            <w:shd w:fill="FFF4CC"/>
          </w:tcPr>
          <w:p>
            <w:r>
              <w:rPr>
                <w:rFonts w:ascii="Arial" w:hAnsi="Arial"/>
                <w:b w:val="0"/>
                <w:sz w:val="18"/>
              </w:rPr>
              <w:t>Lunch</w:t>
            </w:r>
          </w:p>
        </w:tc>
        <w:tc>
          <w:tcPr>
            <w:tcW w:type="dxa" w:w="2880"/>
            <w:vAlign w:val="center"/>
            <w:shd w:fill="FFF4CC"/>
          </w:tcPr>
          <w:p>
            <w:r>
              <w:rPr>
                <w:rFonts w:ascii="Arial" w:hAnsi="Arial"/>
                <w:b w:val="0"/>
                <w:sz w:val="18"/>
              </w:rPr>
              <w:t>30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13:30–14:15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CI failure exercise and release review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45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14:15–15:00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Topic 4: skills, subagents and MCP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45</w:t>
            </w:r>
          </w:p>
        </w:tc>
      </w:tr>
      <w:tr>
        <w:tc>
          <w:tcPr>
            <w:tcW w:type="dxa" w:w="2880"/>
            <w:vAlign w:val="center"/>
            <w:shd w:fill="FFF4CC"/>
          </w:tcPr>
          <w:p>
            <w:r>
              <w:rPr>
                <w:rFonts w:ascii="Arial" w:hAnsi="Arial"/>
                <w:b w:val="0"/>
                <w:sz w:val="18"/>
              </w:rPr>
              <w:t>15:00–15:15</w:t>
            </w:r>
          </w:p>
        </w:tc>
        <w:tc>
          <w:tcPr>
            <w:tcW w:type="dxa" w:w="2880"/>
            <w:vAlign w:val="center"/>
            <w:shd w:fill="FFF4CC"/>
          </w:tcPr>
          <w:p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2880"/>
            <w:vAlign w:val="center"/>
            <w:shd w:fill="FFF4CC"/>
          </w:tcPr>
          <w:p>
            <w:r>
              <w:rPr>
                <w:rFonts w:ascii="Arial" w:hAnsi="Arial"/>
                <w:b w:val="0"/>
                <w:sz w:val="18"/>
              </w:rPr>
              <w:t>15</w:t>
            </w:r>
          </w:p>
        </w:tc>
      </w:tr>
      <w:tr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15:15–16:15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Lab 7: non-WSQ reusable agent tooling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60</w:t>
            </w:r>
          </w:p>
        </w:tc>
      </w:tr>
      <w:tr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16:15–17:15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Lab 8: MCP-style tool and orchestration</w:t>
            </w:r>
          </w:p>
        </w:tc>
        <w:tc>
          <w:tcPr>
            <w:tcW w:type="dxa" w:w="2880"/>
            <w:vAlign w:val="center"/>
            <w:shd w:fill="E8F8F1"/>
          </w:tcPr>
          <w:p>
            <w:r>
              <w:rPr>
                <w:rFonts w:ascii="Arial" w:hAnsi="Arial"/>
                <w:b w:val="0"/>
                <w:sz w:val="18"/>
              </w:rPr>
              <w:t>60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17:15–17:30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Capstone demonstration and close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Arial" w:hAnsi="Arial"/>
                <w:b w:val="0"/>
                <w:sz w:val="18"/>
              </w:rPr>
              <w:t>15</w:t>
            </w:r>
          </w:p>
        </w:tc>
      </w:tr>
    </w:tbl>
    <w:p>
      <w:r>
        <w:t>Classroom window: 480 minutes; instructional/contact time excluding lunch: 450 minutes (7.5 hours).</w:t>
      </w:r>
    </w:p>
    <w:p>
      <w:pPr>
        <w:pStyle w:val="Title"/>
      </w:pPr>
      <w:r>
        <w:t>4. Facilitation Methods</w:t>
      </w:r>
    </w:p>
    <w:p>
      <w:r>
        <w:t>Short demonstrations, think-aloud prompt design, paired diff reviews, guided labs, failure injection, evidence checkpoints and capstone demonstration.</w:t>
      </w:r>
    </w:p>
    <w:p>
      <w:pPr>
        <w:pStyle w:val="Title"/>
      </w:pPr>
      <w:r>
        <w:t>5. Tools and Resources</w:t>
      </w:r>
    </w:p>
    <w:p>
      <w:r>
        <w:t>Laptop, Git, GitHub, Node.js 20+, browser, code editor, supported coding agent, course repository and learner guide. Use synthetic data and placeholder credentials only.</w:t>
      </w:r>
    </w:p>
    <w:p>
      <w:pPr>
        <w:pStyle w:val="Title"/>
      </w:pPr>
      <w:r>
        <w:t>6. Progress Checks</w:t>
      </w:r>
    </w:p>
    <w:p>
      <w:r>
        <w:t>Progress is formative: observable lab checkpoints, test output, reviewed diffs and final capstone demonstration. No formal assessment is included.</w:t>
      </w:r>
    </w:p>
    <w:sectPr w:rsidR="00FC693F" w:rsidRPr="0006063C" w:rsidSect="00034616">
      <w:footerReference w:type="default" r:id="rId9"/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© 2026 Tertiary Infotech Academy Pte Ltd. All rights reserved.  |  www.tertiarycourses.com.sg  | 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6F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6FE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1F6FEB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