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0"/>
        <w:jc w:val="center"/>
      </w:pPr>
      <w:r>
        <w:rPr>
          <w:b/>
          <w:color w:val="1F6FEB"/>
          <w:sz w:val="58"/>
        </w:rPr>
        <w:t>AI Vibe Coding for Full Stack Web Development</w:t>
      </w:r>
    </w:p>
    <w:p>
      <w:pPr>
        <w:jc w:val="center"/>
      </w:pPr>
      <w:r>
        <w:rPr>
          <w:b/>
          <w:color w:val="10B981"/>
          <w:sz w:val="38"/>
        </w:rPr>
        <w:t>Lesson Plan — Agentic AI Loop Engineering</w:t>
      </w:r>
    </w:p>
    <w:p>
      <w:pPr>
        <w:jc w:val="center"/>
      </w:pPr>
      <w:r>
        <w:t>Course Code: C1800</w:t>
        <w:br/>
        <w:t>Version 2.0</w:t>
        <w:br/>
        <w:t>Conducted by Tertiary Infotech Academy Pte Ltd</w:t>
        <w:br/>
        <w:t>UEN: 201200696W</w:t>
      </w:r>
    </w:p>
    <w:p>
      <w:r>
        <w:br w:type="page"/>
      </w:r>
    </w:p>
    <w:p>
      <w:pPr>
        <w:pStyle w:val="Title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t>Version</w:t>
            </w:r>
          </w:p>
        </w:tc>
        <w:tc>
          <w:tcPr>
            <w:tcW w:type="dxa" w:w="2160"/>
            <w:shd w:fill="1F6FEB"/>
          </w:tcPr>
          <w:p>
            <w:r>
              <w:t>Effective Date</w:t>
            </w:r>
          </w:p>
        </w:tc>
        <w:tc>
          <w:tcPr>
            <w:tcW w:type="dxa" w:w="2160"/>
            <w:shd w:fill="1F6FEB"/>
          </w:tcPr>
          <w:p>
            <w:r>
              <w:t>Summary of Changes</w:t>
            </w:r>
          </w:p>
        </w:tc>
        <w:tc>
          <w:tcPr>
            <w:tcW w:type="dxa" w:w="2160"/>
            <w:shd w:fill="1F6FEB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11 July 2026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  <w:tc>
          <w:tcPr>
            <w:tcW w:type="dxa" w:w="2160"/>
          </w:tcPr>
          <w:p>
            <w:r>
              <w:t>Tertiary Infotech Academy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2026-07-11</w:t>
            </w:r>
          </w:p>
        </w:tc>
        <w:tc>
          <w:tcPr>
            <w:tcW w:type="dxa" w:w="2160"/>
          </w:tcPr>
          <w:p>
            <w:r>
              <w:t>Rebuilt to 24-lab adult-training standard</w:t>
            </w:r>
          </w:p>
        </w:tc>
        <w:tc>
          <w:tcPr>
            <w:tcW w:type="dxa" w:w="2160"/>
          </w:tcPr>
          <w:p>
            <w:r>
              <w:t>Tertiary Infotech Academy</w:t>
            </w:r>
          </w:p>
        </w:tc>
      </w:tr>
    </w:tbl>
    <w:p>
      <w:pPr>
        <w:pStyle w:val="Title"/>
      </w:pPr>
      <w:r>
        <w:t>Table of Contents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Title"/>
      </w:pPr>
      <w:r>
        <w:t>Course Information</w:t>
      </w:r>
    </w:p>
    <w:p>
      <w:r>
        <w:t>Intermediate | 2 days | 15 instructional hours | Instructor-led demonstration, guided practice and independent challenge</w:t>
      </w:r>
    </w:p>
    <w:p>
      <w:pPr>
        <w:pStyle w:val="Title"/>
      </w:pPr>
      <w:r>
        <w:t>Adult Learning Design</w:t>
      </w:r>
    </w:p>
    <w:p>
      <w:r>
        <w:t>Each block uses activation of prior experience, concise concept input, trainer think-aloud, guided lab practice, independent boundary challenge, peer explanation and reflective checkpoint. The trainer adapts scaffolding based on observable evidence rather than pace alone.</w:t>
      </w:r>
    </w:p>
    <w:p>
      <w:pPr>
        <w:pStyle w:val="Title"/>
      </w:pPr>
      <w:r>
        <w:t>Learning Outcomes</w:t>
      </w:r>
    </w:p>
    <w:p>
      <w:pPr>
        <w:pStyle w:val="ListBullet"/>
      </w:pPr>
      <w:r>
        <w:t>Engineer durable agent goals, context and repository instructions.</w:t>
      </w:r>
    </w:p>
    <w:p>
      <w:pPr>
        <w:pStyle w:val="ListBullet"/>
      </w:pPr>
      <w:r>
        <w:t>Implement and test an accessible typed full-stack application.</w:t>
      </w:r>
    </w:p>
    <w:p>
      <w:pPr>
        <w:pStyle w:val="ListBullet"/>
      </w:pPr>
      <w:r>
        <w:t>Automate production builds, CI/CD gates and rollback evidence.</w:t>
      </w:r>
    </w:p>
    <w:p>
      <w:pPr>
        <w:pStyle w:val="ListBullet"/>
      </w:pPr>
      <w:r>
        <w:t>Create namespaced skills, hooks, subagents and secure MCP tools.</w:t>
      </w:r>
    </w:p>
    <w:p>
      <w:pPr>
        <w:pStyle w:val="Title"/>
      </w:pPr>
      <w:r>
        <w:t>Detailed Schedule</w:t>
      </w:r>
    </w:p>
    <w:p>
      <w:pPr>
        <w:pStyle w:val="Heading1"/>
      </w:pPr>
      <w:r>
        <w:t>Day 1 — Context, architecture and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6FEB"/>
          </w:tcPr>
          <w:p>
            <w:r>
              <w:t>Time</w:t>
            </w:r>
          </w:p>
        </w:tc>
        <w:tc>
          <w:tcPr>
            <w:tcW w:type="dxa" w:w="2880"/>
            <w:shd w:fill="1F6FEB"/>
          </w:tcPr>
          <w:p>
            <w:r>
              <w:t>Learning Activity</w:t>
            </w:r>
          </w:p>
        </w:tc>
        <w:tc>
          <w:tcPr>
            <w:tcW w:type="dxa" w:w="2880"/>
            <w:shd w:fill="1F6FEB"/>
          </w:tcPr>
          <w:p>
            <w:r>
              <w:t>Minutes</w:t>
            </w:r>
          </w:p>
        </w:tc>
      </w:tr>
      <w:tr>
        <w:tc>
          <w:tcPr>
            <w:tcW w:type="dxa" w:w="2880"/>
          </w:tcPr>
          <w:p>
            <w:r>
              <w:t>09:30–10:00</w:t>
            </w:r>
          </w:p>
        </w:tc>
        <w:tc>
          <w:tcPr>
            <w:tcW w:type="dxa" w:w="2880"/>
          </w:tcPr>
          <w:p>
            <w:r>
              <w:t>Orientation, prior-experience activation and loop demonstration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10:00–11:15</w:t>
            </w:r>
          </w:p>
        </w:tc>
        <w:tc>
          <w:tcPr>
            <w:tcW w:type="dxa" w:w="2880"/>
          </w:tcPr>
          <w:p>
            <w:r>
              <w:t>Topic 1 concepts + Labs 1.1–1.3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11:15–13:00</w:t>
            </w:r>
          </w:p>
        </w:tc>
        <w:tc>
          <w:tcPr>
            <w:tcW w:type="dxa" w:w="2880"/>
          </w:tcPr>
          <w:p>
            <w:r>
              <w:t>Labs 1.4–1.6: brief, instructions and scaffold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  <w:shd w:fill="FFF4CC"/>
          </w:tcPr>
          <w:p>
            <w:r>
              <w:t>13:00–13:30</w:t>
            </w:r>
          </w:p>
        </w:tc>
        <w:tc>
          <w:tcPr>
            <w:tcW w:type="dxa" w:w="2880"/>
            <w:shd w:fill="FFF4CC"/>
          </w:tcPr>
          <w:p>
            <w:r>
              <w:t>Lunch</w:t>
            </w:r>
          </w:p>
        </w:tc>
        <w:tc>
          <w:tcPr>
            <w:tcW w:type="dxa" w:w="2880"/>
            <w:shd w:fill="FFF4CC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13:30–15:00</w:t>
            </w:r>
          </w:p>
        </w:tc>
        <w:tc>
          <w:tcPr>
            <w:tcW w:type="dxa" w:w="2880"/>
          </w:tcPr>
          <w:p>
            <w:r>
              <w:t>Topic 2 concepts + Labs 2.1–2.4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  <w:shd w:fill="FFF4CC"/>
          </w:tcPr>
          <w:p>
            <w:r>
              <w:t>15:00–15:15</w:t>
            </w:r>
          </w:p>
        </w:tc>
        <w:tc>
          <w:tcPr>
            <w:tcW w:type="dxa" w:w="2880"/>
            <w:shd w:fill="FFF4CC"/>
          </w:tcPr>
          <w:p>
            <w:r>
              <w:t>Tea break</w:t>
            </w:r>
          </w:p>
        </w:tc>
        <w:tc>
          <w:tcPr>
            <w:tcW w:type="dxa" w:w="2880"/>
            <w:shd w:fill="FFF4CC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15:15–17:00</w:t>
            </w:r>
          </w:p>
        </w:tc>
        <w:tc>
          <w:tcPr>
            <w:tcW w:type="dxa" w:w="2880"/>
          </w:tcPr>
          <w:p>
            <w:r>
              <w:t>Labs 2.5–2.9: contracts, API, data and integration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17:00–17:30</w:t>
            </w:r>
          </w:p>
        </w:tc>
        <w:tc>
          <w:tcPr>
            <w:tcW w:type="dxa" w:w="2880"/>
          </w:tcPr>
          <w:p>
            <w:r>
              <w:t>Labs 2.10–2.11, review and checkpoint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p>
      <w:r>
        <w:t>Instructional/contact time excluding lunch: 450 minutes (7.5 hours).</w:t>
      </w:r>
    </w:p>
    <w:p>
      <w:pPr>
        <w:pStyle w:val="Heading1"/>
      </w:pPr>
      <w:r>
        <w:t>Day 2 — Delivery, reusable agents and orchestration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6FEB"/>
          </w:tcPr>
          <w:p>
            <w:r>
              <w:t>Time</w:t>
            </w:r>
          </w:p>
        </w:tc>
        <w:tc>
          <w:tcPr>
            <w:tcW w:type="dxa" w:w="2880"/>
            <w:shd w:fill="1F6FEB"/>
          </w:tcPr>
          <w:p>
            <w:r>
              <w:t>Learning Activity</w:t>
            </w:r>
          </w:p>
        </w:tc>
        <w:tc>
          <w:tcPr>
            <w:tcW w:type="dxa" w:w="2880"/>
            <w:shd w:fill="1F6FEB"/>
          </w:tcPr>
          <w:p>
            <w:r>
              <w:t>Minutes</w:t>
            </w:r>
          </w:p>
        </w:tc>
      </w:tr>
      <w:tr>
        <w:tc>
          <w:tcPr>
            <w:tcW w:type="dxa" w:w="2880"/>
          </w:tcPr>
          <w:p>
            <w:r>
              <w:t>09:30–10:00</w:t>
            </w:r>
          </w:p>
        </w:tc>
        <w:tc>
          <w:tcPr>
            <w:tcW w:type="dxa" w:w="2880"/>
          </w:tcPr>
          <w:p>
            <w:r>
              <w:t>Retrieval practice and checkpoint recovery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10:00–11:30</w:t>
            </w:r>
          </w:p>
        </w:tc>
        <w:tc>
          <w:tcPr>
            <w:tcW w:type="dxa" w:w="2880"/>
          </w:tcPr>
          <w:p>
            <w:r>
              <w:t>Topic 3 concepts + Labs 3.1–3.3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11:30–13:00</w:t>
            </w:r>
          </w:p>
        </w:tc>
        <w:tc>
          <w:tcPr>
            <w:tcW w:type="dxa" w:w="2880"/>
          </w:tcPr>
          <w:p>
            <w:r>
              <w:t>Labs 3.4–3.5: CI and failure injection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  <w:shd w:fill="FFF4CC"/>
          </w:tcPr>
          <w:p>
            <w:r>
              <w:t>13:00–13:30</w:t>
            </w:r>
          </w:p>
        </w:tc>
        <w:tc>
          <w:tcPr>
            <w:tcW w:type="dxa" w:w="2880"/>
            <w:shd w:fill="FFF4CC"/>
          </w:tcPr>
          <w:p>
            <w:r>
              <w:t>Lunch</w:t>
            </w:r>
          </w:p>
        </w:tc>
        <w:tc>
          <w:tcPr>
            <w:tcW w:type="dxa" w:w="2880"/>
            <w:shd w:fill="FFF4CC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13:30–14:30</w:t>
            </w:r>
          </w:p>
        </w:tc>
        <w:tc>
          <w:tcPr>
            <w:tcW w:type="dxa" w:w="2880"/>
          </w:tcPr>
          <w:p>
            <w:r>
              <w:t>Labs 3.6–3.7: deploy, observe and roll back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14:30–15:00</w:t>
            </w:r>
          </w:p>
        </w:tc>
        <w:tc>
          <w:tcPr>
            <w:tcW w:type="dxa" w:w="2880"/>
          </w:tcPr>
          <w:p>
            <w:r>
              <w:t>Topic 4 concepts and trainer MCP demonstration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  <w:shd w:fill="FFF4CC"/>
          </w:tcPr>
          <w:p>
            <w:r>
              <w:t>15:00–15:15</w:t>
            </w:r>
          </w:p>
        </w:tc>
        <w:tc>
          <w:tcPr>
            <w:tcW w:type="dxa" w:w="2880"/>
            <w:shd w:fill="FFF4CC"/>
          </w:tcPr>
          <w:p>
            <w:r>
              <w:t>Tea break</w:t>
            </w:r>
          </w:p>
        </w:tc>
        <w:tc>
          <w:tcPr>
            <w:tcW w:type="dxa" w:w="2880"/>
            <w:shd w:fill="FFF4CC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15:15–16:45</w:t>
            </w:r>
          </w:p>
        </w:tc>
        <w:tc>
          <w:tcPr>
            <w:tcW w:type="dxa" w:w="2880"/>
          </w:tcPr>
          <w:p>
            <w:r>
              <w:t>Labs 4.1–4.5: skills, hooks, subagents and MCP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16:45–17:30</w:t>
            </w:r>
          </w:p>
        </w:tc>
        <w:tc>
          <w:tcPr>
            <w:tcW w:type="dxa" w:w="2880"/>
          </w:tcPr>
          <w:p>
            <w:r>
              <w:t>Lab 4.6 capstone release, peer explanation and close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</w:tbl>
    <w:p>
      <w:r>
        <w:t>Instructional/contact time excluding lunch: 450 minutes (7.5 hours).</w:t>
      </w:r>
    </w:p>
    <w:p>
      <w:pPr>
        <w:pStyle w:val="Title"/>
      </w:pPr>
      <w:r>
        <w:t>Facilitation and Learning Checks</w:t>
      </w:r>
    </w:p>
    <w:p>
      <w:r>
        <w:t>Use observation checklists, prompt/diff walkthroughs, command output, peer explanation, failure injection and capstone demonstration. Provide extra scaffolding through partially completed prompt contracts; extend faster learners with changed boundaries and security review.</w:t>
      </w:r>
    </w:p>
    <w:sectPr w:rsidR="00FC693F" w:rsidRPr="0006063C" w:rsidSect="00034616">
      <w:footerReference w:type="default" r:id="rId10"/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Ltd. All rights reserved. | www.tertiarycourses.com.sg |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B98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C3AE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6FE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