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LESSON PLAN</w:t>
      </w:r>
    </w:p>
    <w:p>
      <w:r>
        <w:t>AI Vibe Coding for Full Stack Web Development</w:t>
      </w:r>
    </w:p>
    <w:p>
      <w:r>
        <w:t>C1800  ·  v12.0  ·  14 September 2026  ·  UEN 201200696W</w:t>
      </w:r>
    </w:p>
    <w:p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11.0</w:t>
            </w:r>
          </w:p>
        </w:tc>
        <w:tc>
          <w:tcPr>
            <w:tcW w:type="dxa" w:w="2880"/>
          </w:tcPr>
          <w:p>
            <w:r>
              <w:t>Legacy</w:t>
            </w:r>
          </w:p>
        </w:tc>
        <w:tc>
          <w:tcPr>
            <w:tcW w:type="dxa" w:w="2880"/>
          </w:tcPr>
          <w:p>
            <w:r>
              <w:t>Vue source reference</w:t>
            </w:r>
          </w:p>
        </w:tc>
      </w:tr>
      <w:tr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14 September 2026</w:t>
            </w:r>
          </w:p>
        </w:tc>
        <w:tc>
          <w:tcPr>
            <w:tcW w:type="dxa" w:w="2880"/>
          </w:tcPr>
          <w:p>
            <w:r>
              <w:t>React full-stack methods, AI review gates, ten labs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/>
      <w:fldSimple w:instr="TOC \o &quot;1-2&quot; \h \z \u"/>
    </w:p>
    <w:p>
      <w:r>
        <w:t>Course information · five topics · lab guides</w:t>
      </w:r>
    </w:p>
    <w:p>
      <w:r>
        <w:br w:type="page"/>
      </w:r>
    </w:p>
    <w:p>
      <w:pPr>
        <w:pStyle w:val="Heading1"/>
      </w:pPr>
      <w:r>
        <w:t>Course information</w:t>
      </w:r>
    </w:p>
    <w:p>
      <w:r>
        <w:t>AI Vibe Coding for Full Stack Web Development · C1800 · 2 days / 15 instructional hours, 9:30am – 5:30pm each day (7.5 hours per day).</w:t>
      </w:r>
    </w:p>
    <w:p>
      <w:r>
        <w:t>LO1–LO5 align with the five official topics.</w:t>
      </w:r>
    </w:p>
    <w:p>
      <w:pPr>
        <w:pStyle w:val="Heading1"/>
      </w:pPr>
      <w:r>
        <w:t>Day 1 · 9:30am – 5:30pm · 7.5 instructional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 and slide evidence</w:t>
            </w:r>
          </w:p>
        </w:tc>
      </w:tr>
      <w:tr>
        <w:tc>
          <w:tcPr>
            <w:tcW w:type="dxa" w:w="4320"/>
          </w:tcPr>
          <w:p>
            <w:r>
              <w:t>09:30–10:00</w:t>
            </w:r>
          </w:p>
        </w:tc>
        <w:tc>
          <w:tcPr>
            <w:tcW w:type="dxa" w:w="4320"/>
          </w:tcPr>
          <w:p>
            <w:r>
              <w:t>Welcome, recap, contract and evidence</w:t>
            </w:r>
          </w:p>
        </w:tc>
      </w:tr>
      <w:tr>
        <w:tc>
          <w:tcPr>
            <w:tcW w:type="dxa" w:w="4320"/>
          </w:tcPr>
          <w:p>
            <w:r>
              <w:t>10:00–11:15</w:t>
            </w:r>
          </w:p>
        </w:tc>
        <w:tc>
          <w:tcPr>
            <w:tcW w:type="dxa" w:w="4320"/>
          </w:tcPr>
          <w:p>
            <w:r>
              <w:t>Designing Full Stack Web Applications with AI Vibe Coding</w:t>
            </w:r>
          </w:p>
        </w:tc>
      </w:tr>
      <w:tr>
        <w:tc>
          <w:tcPr>
            <w:tcW w:type="dxa" w:w="4320"/>
          </w:tcPr>
          <w:p>
            <w:r>
              <w:t>11:15–13:15</w:t>
            </w:r>
          </w:p>
        </w:tc>
        <w:tc>
          <w:tcPr>
            <w:tcW w:type="dxa" w:w="4320"/>
          </w:tcPr>
          <w:p>
            <w:r>
              <w:t>Labs 1–3</w:t>
            </w:r>
          </w:p>
        </w:tc>
      </w:tr>
      <w:tr>
        <w:tc>
          <w:tcPr>
            <w:tcW w:type="dxa" w:w="4320"/>
          </w:tcPr>
          <w:p>
            <w:r>
              <w:t>13:15–13:45</w:t>
            </w:r>
          </w:p>
        </w:tc>
        <w:tc>
          <w:tcPr>
            <w:tcW w:type="dxa" w:w="4320"/>
          </w:tcPr>
          <w:p>
            <w:r>
              <w:t>Lunch</w:t>
            </w:r>
          </w:p>
        </w:tc>
      </w:tr>
      <w:tr>
        <w:tc>
          <w:tcPr>
            <w:tcW w:type="dxa" w:w="4320"/>
          </w:tcPr>
          <w:p>
            <w:r>
              <w:t>13:45–15:15</w:t>
            </w:r>
          </w:p>
        </w:tc>
        <w:tc>
          <w:tcPr>
            <w:tcW w:type="dxa" w:w="4320"/>
          </w:tcPr>
          <w:p>
            <w:r>
              <w:t>Building Dynamic and Responsive User Interfaces</w:t>
            </w:r>
          </w:p>
        </w:tc>
      </w:tr>
      <w:tr>
        <w:tc>
          <w:tcPr>
            <w:tcW w:type="dxa" w:w="4320"/>
          </w:tcPr>
          <w:p>
            <w:r>
              <w:t>15:15–17:30</w:t>
            </w:r>
          </w:p>
        </w:tc>
        <w:tc>
          <w:tcPr>
            <w:tcW w:type="dxa" w:w="4320"/>
          </w:tcPr>
          <w:p>
            <w:r>
              <w:t>Labs 4–6; review</w:t>
            </w:r>
          </w:p>
        </w:tc>
      </w:tr>
    </w:tbl>
    <w:p>
      <w:pPr>
        <w:pStyle w:val="Heading1"/>
      </w:pPr>
      <w:r>
        <w:t>Day 2 · 9:30am – 5:30pm · 7.5 instructional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 and slide evidence</w:t>
            </w:r>
          </w:p>
        </w:tc>
      </w:tr>
      <w:tr>
        <w:tc>
          <w:tcPr>
            <w:tcW w:type="dxa" w:w="4320"/>
          </w:tcPr>
          <w:p>
            <w:r>
              <w:t>09:30–10:15</w:t>
            </w:r>
          </w:p>
        </w:tc>
        <w:tc>
          <w:tcPr>
            <w:tcW w:type="dxa" w:w="4320"/>
          </w:tcPr>
          <w:p>
            <w:r>
              <w:t>Day 1 recap</w:t>
            </w:r>
          </w:p>
        </w:tc>
      </w:tr>
      <w:tr>
        <w:tc>
          <w:tcPr>
            <w:tcW w:type="dxa" w:w="4320"/>
          </w:tcPr>
          <w:p>
            <w:r>
              <w:t>10:15–12:05</w:t>
            </w:r>
          </w:p>
        </w:tc>
        <w:tc>
          <w:tcPr>
            <w:tcW w:type="dxa" w:w="4320"/>
          </w:tcPr>
          <w:p>
            <w:r>
              <w:t>Developing Reusable Components and Full Stack Architecture</w:t>
            </w:r>
          </w:p>
        </w:tc>
      </w:tr>
      <w:tr>
        <w:tc>
          <w:tcPr>
            <w:tcW w:type="dxa" w:w="4320"/>
          </w:tcPr>
          <w:p>
            <w:r>
              <w:t>12:05–12:35</w:t>
            </w:r>
          </w:p>
        </w:tc>
        <w:tc>
          <w:tcPr>
            <w:tcW w:type="dxa" w:w="4320"/>
          </w:tcPr>
          <w:p>
            <w:r>
              <w:t>Lunch</w:t>
            </w:r>
          </w:p>
        </w:tc>
      </w:tr>
      <w:tr>
        <w:tc>
          <w:tcPr>
            <w:tcW w:type="dxa" w:w="4320"/>
          </w:tcPr>
          <w:p>
            <w:r>
              <w:t>12:35–15:40</w:t>
            </w:r>
          </w:p>
        </w:tc>
        <w:tc>
          <w:tcPr>
            <w:tcW w:type="dxa" w:w="4320"/>
          </w:tcPr>
          <w:p>
            <w:r>
              <w:t>Labs 7–8: components and API</w:t>
            </w:r>
          </w:p>
        </w:tc>
      </w:tr>
      <w:tr>
        <w:tc>
          <w:tcPr>
            <w:tcW w:type="dxa" w:w="4320"/>
          </w:tcPr>
          <w:p>
            <w:r>
              <w:t>15:40–17:30</w:t>
            </w:r>
          </w:p>
        </w:tc>
        <w:tc>
          <w:tcPr>
            <w:tcW w:type="dxa" w:w="4320"/>
          </w:tcPr>
          <w:p>
            <w:r>
              <w:t>Labs 9–10: persistence and release checks</w:t>
            </w:r>
          </w:p>
        </w:tc>
      </w:tr>
    </w:tbl>
    <w:p>
      <w:pPr>
        <w:pStyle w:val="Heading1"/>
      </w:pPr>
      <w:r>
        <w:t>Slide map</w:t>
      </w:r>
    </w:p>
    <w:p>
      <w:r>
        <w:t>Slides 1–4: course administration. The topic and lab references below match the v12.0 deck.</w:t>
      </w:r>
    </w:p>
    <w:p>
      <w:r>
        <w:t>Topic 1 / LO1: slides 5–46; Labs 1–2.</w:t>
      </w:r>
    </w:p>
    <w:p>
      <w:r>
        <w:t>Topic 2 / LO2: slides 47–88; Labs 3–4.</w:t>
      </w:r>
    </w:p>
    <w:p>
      <w:r>
        <w:t>Topic 3 / LO3: slides 89–130; Labs 5–6.</w:t>
      </w:r>
    </w:p>
    <w:p>
      <w:r>
        <w:t>Topic 4 / LO4: slides 131–172; Labs 7–8.</w:t>
      </w:r>
    </w:p>
    <w:p>
      <w:r>
        <w:t>Topic 5 / LO5: slides 173–214; Labs 9–10.</w:t>
      </w:r>
    </w:p>
    <w:p>
      <w:r>
        <w:t>Slide 215: editable measurement chart; slide 216: course feedback and support.</w:t>
      </w:r>
    </w:p>
    <w:sectPr w:rsidR="00FC693F" w:rsidRPr="0006063C" w:rsidSect="00034616">
      <w:headerReference w:type="default" r:id="rId9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Tertiary Infotech Academy Pte Ltd  ·  C1800  ·  Page </w:t>
    </w:r>
    <w:r/>
    <w:fldSimple w:instr="PAGE"/>
    <w:r>
      <w:t xml:space="preserve"> of </w:t>
    </w:r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TERTIARY INFOTECH ACADEMY  ·  NON-WSQ COURSE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