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Tableau Data Prep Masterclass</w:t>
      </w:r>
    </w:p>
    <w:p>
      <w:pPr>
        <w:spacing w:before="80" w:after="280"/>
        <w:jc w:val="center"/>
      </w:pPr>
      <w:r>
        <w:rPr>
          <w:b w:val="0"/>
          <w:color w:val="111827"/>
          <w:sz w:val="24"/>
        </w:rPr>
        <w:t>Course Code: C181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4 October 2026</w:t>
            </w:r>
          </w:p>
        </w:tc>
        <w:tc>
          <w:tcPr>
            <w:tcW w:type="dxa" w:w="2160"/>
          </w:tcPr>
          <w:p>
            <w:r/>
            <w:r>
              <w:rPr>
                <w:sz w:val="19"/>
              </w:rPr>
              <w:t>Initial release of Tableau Data Prep Masterclass (C181): two-day 9:30am–5:30pm schedule.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5</w:t>
      </w:r>
    </w:p>
    <w:p>
      <w:pPr>
        <w:tabs>
          <w:tab w:pos="9072" w:val="right" w:leader="dot"/>
        </w:tabs>
        <w:spacing w:after="60"/>
        <w:ind w:left="432"/>
      </w:pPr>
      <w:r>
        <w:rPr>
          <w:rFonts w:ascii="Arial" w:hAnsi="Arial"/>
          <w:b w:val="0"/>
          <w:color w:val="333333"/>
          <w:sz w:val="21"/>
        </w:rPr>
        <w:t>Course Information</w:t>
        <w:tab/>
        <w:t>5</w:t>
      </w:r>
    </w:p>
    <w:p>
      <w:pPr>
        <w:tabs>
          <w:tab w:pos="9072" w:val="right" w:leader="dot"/>
        </w:tabs>
        <w:spacing w:after="60"/>
        <w:ind w:left="432"/>
      </w:pPr>
      <w:r>
        <w:rPr>
          <w:rFonts w:ascii="Arial" w:hAnsi="Arial"/>
          <w:b w:val="0"/>
          <w:color w:val="333333"/>
          <w:sz w:val="21"/>
        </w:rPr>
        <w:t>Learning Outcomes</w:t>
        <w:tab/>
        <w:t>5</w:t>
      </w:r>
    </w:p>
    <w:p>
      <w:pPr>
        <w:tabs>
          <w:tab w:pos="9072" w:val="right" w:leader="dot"/>
        </w:tabs>
        <w:spacing w:after="60"/>
        <w:ind w:left="432"/>
      </w:pPr>
      <w:r>
        <w:rPr>
          <w:rFonts w:ascii="Arial" w:hAnsi="Arial"/>
          <w:b w:val="0"/>
          <w:color w:val="333333"/>
          <w:sz w:val="21"/>
        </w:rPr>
        <w:t>Before You Start</w:t>
        <w:tab/>
        <w:t>5</w:t>
      </w:r>
    </w:p>
    <w:p>
      <w:pPr>
        <w:tabs>
          <w:tab w:pos="9072" w:val="right" w:leader="dot"/>
        </w:tabs>
        <w:spacing w:after="60"/>
        <w:ind w:left="432"/>
      </w:pPr>
      <w:r>
        <w:rPr>
          <w:rFonts w:ascii="Arial" w:hAnsi="Arial"/>
          <w:b w:val="0"/>
          <w:color w:val="333333"/>
          <w:sz w:val="21"/>
        </w:rPr>
        <w:t>Standard Validation Routine</w:t>
        <w:tab/>
        <w:t>5</w:t>
      </w:r>
    </w:p>
    <w:p>
      <w:pPr>
        <w:tabs>
          <w:tab w:pos="9072" w:val="right" w:leader="dot"/>
        </w:tabs>
        <w:spacing w:after="60"/>
      </w:pPr>
      <w:r>
        <w:rPr>
          <w:rFonts w:ascii="Arial" w:hAnsi="Arial"/>
          <w:b/>
          <w:color w:val="333333"/>
          <w:sz w:val="22"/>
        </w:rPr>
        <w:t>Topic 01 — Connecting to and Preparing Data in Tableau Desktop (23%)</w:t>
        <w:tab/>
        <w:t>7</w:t>
      </w:r>
    </w:p>
    <w:p>
      <w:pPr>
        <w:tabs>
          <w:tab w:pos="9072" w:val="right" w:leader="dot"/>
        </w:tabs>
        <w:spacing w:after="60"/>
        <w:ind w:left="432"/>
      </w:pPr>
      <w:r>
        <w:rPr>
          <w:rFonts w:ascii="Arial" w:hAnsi="Arial"/>
          <w:b w:val="0"/>
          <w:color w:val="333333"/>
          <w:sz w:val="21"/>
        </w:rPr>
        <w:t>Domain Concepts</w:t>
        <w:tab/>
        <w:t>7</w:t>
      </w:r>
    </w:p>
    <w:p>
      <w:pPr>
        <w:tabs>
          <w:tab w:pos="9072" w:val="right" w:leader="dot"/>
        </w:tabs>
        <w:spacing w:after="60"/>
        <w:ind w:left="432"/>
      </w:pPr>
      <w:r>
        <w:rPr>
          <w:rFonts w:ascii="Arial" w:hAnsi="Arial"/>
          <w:b w:val="0"/>
          <w:color w:val="333333"/>
          <w:sz w:val="21"/>
        </w:rPr>
        <w:t>Create live connections and extracts</w:t>
        <w:tab/>
        <w:t>7</w:t>
      </w:r>
    </w:p>
    <w:p>
      <w:pPr>
        <w:tabs>
          <w:tab w:pos="9072" w:val="right" w:leader="dot"/>
        </w:tabs>
        <w:spacing w:after="60"/>
        <w:ind w:left="432"/>
      </w:pPr>
      <w:r>
        <w:rPr>
          <w:rFonts w:ascii="Arial" w:hAnsi="Arial"/>
          <w:b w:val="0"/>
          <w:color w:val="333333"/>
          <w:sz w:val="21"/>
        </w:rPr>
        <w:t>Create and manage the data model</w:t>
        <w:tab/>
        <w:t>8</w:t>
      </w:r>
    </w:p>
    <w:p>
      <w:pPr>
        <w:tabs>
          <w:tab w:pos="9072" w:val="right" w:leader="dot"/>
        </w:tabs>
        <w:spacing w:after="60"/>
        <w:ind w:left="432"/>
      </w:pPr>
      <w:r>
        <w:rPr>
          <w:rFonts w:ascii="Arial" w:hAnsi="Arial"/>
          <w:b w:val="0"/>
          <w:color w:val="333333"/>
          <w:sz w:val="21"/>
        </w:rPr>
        <w:t>Manage data properties</w:t>
        <w:tab/>
        <w:t>9</w:t>
      </w:r>
    </w:p>
    <w:p>
      <w:pPr>
        <w:tabs>
          <w:tab w:pos="9072" w:val="right" w:leader="dot"/>
        </w:tabs>
        <w:spacing w:after="60"/>
        <w:ind w:left="432"/>
      </w:pPr>
      <w:r>
        <w:rPr>
          <w:rFonts w:ascii="Arial" w:hAnsi="Arial"/>
          <w:b w:val="0"/>
          <w:color w:val="333333"/>
          <w:sz w:val="21"/>
        </w:rPr>
        <w:t>Cleanse data with Tableau Prep Builder</w:t>
        <w:tab/>
        <w:t>10</w:t>
      </w:r>
    </w:p>
    <w:p>
      <w:pPr>
        <w:tabs>
          <w:tab w:pos="9072" w:val="right" w:leader="dot"/>
        </w:tabs>
        <w:spacing w:after="60"/>
        <w:ind w:left="432"/>
      </w:pPr>
      <w:r>
        <w:rPr>
          <w:rFonts w:ascii="Arial" w:hAnsi="Arial"/>
          <w:b w:val="0"/>
          <w:color w:val="333333"/>
          <w:sz w:val="21"/>
        </w:rPr>
        <w:t>Lab 01 — Audit a Retail Sales Connection and Extract</w:t>
        <w:tab/>
        <w:t>13</w:t>
      </w:r>
    </w:p>
    <w:p>
      <w:pPr>
        <w:tabs>
          <w:tab w:pos="9072" w:val="right" w:leader="dot"/>
        </w:tabs>
        <w:spacing w:after="60"/>
        <w:ind w:left="432"/>
      </w:pPr>
      <w:r>
        <w:rPr>
          <w:rFonts w:ascii="Arial" w:hAnsi="Arial"/>
          <w:b w:val="0"/>
          <w:color w:val="333333"/>
          <w:sz w:val="21"/>
        </w:rPr>
        <w:t>Lab 02 — Model Orders, Returns, Products and Targets</w:t>
        <w:tab/>
        <w:t>15</w:t>
      </w:r>
    </w:p>
    <w:p>
      <w:pPr>
        <w:tabs>
          <w:tab w:pos="9072" w:val="right" w:leader="dot"/>
        </w:tabs>
        <w:spacing w:after="60"/>
        <w:ind w:left="432"/>
      </w:pPr>
      <w:r>
        <w:rPr>
          <w:rFonts w:ascii="Arial" w:hAnsi="Arial"/>
          <w:b w:val="0"/>
          <w:color w:val="333333"/>
          <w:sz w:val="21"/>
        </w:rPr>
        <w:t>Lab 03 — Union Monthly Files and Join Store Attributes</w:t>
        <w:tab/>
        <w:t>17</w:t>
      </w:r>
    </w:p>
    <w:p>
      <w:pPr>
        <w:tabs>
          <w:tab w:pos="9072" w:val="right" w:leader="dot"/>
        </w:tabs>
        <w:spacing w:after="60"/>
        <w:ind w:left="432"/>
      </w:pPr>
      <w:r>
        <w:rPr>
          <w:rFonts w:ascii="Arial" w:hAnsi="Arial"/>
          <w:b w:val="0"/>
          <w:color w:val="333333"/>
          <w:sz w:val="21"/>
        </w:rPr>
        <w:t>Lab 11 — Cleanse a Messy Sales Extract with Tableau Prep Builder</w:t>
        <w:tab/>
        <w:t>19</w:t>
      </w:r>
    </w:p>
    <w:p>
      <w:pPr>
        <w:tabs>
          <w:tab w:pos="9072" w:val="right" w:leader="dot"/>
        </w:tabs>
        <w:spacing w:after="60"/>
      </w:pPr>
      <w:r>
        <w:rPr>
          <w:rFonts w:ascii="Arial" w:hAnsi="Arial"/>
          <w:b/>
          <w:color w:val="333333"/>
          <w:sz w:val="22"/>
        </w:rPr>
        <w:t>Topic 02 — Exploring and Analyzing Data in Tableau Desktop (37%)</w:t>
        <w:tab/>
        <w:t>22</w:t>
      </w:r>
    </w:p>
    <w:p>
      <w:pPr>
        <w:tabs>
          <w:tab w:pos="9072" w:val="right" w:leader="dot"/>
        </w:tabs>
        <w:spacing w:after="60"/>
        <w:ind w:left="432"/>
      </w:pPr>
      <w:r>
        <w:rPr>
          <w:rFonts w:ascii="Arial" w:hAnsi="Arial"/>
          <w:b w:val="0"/>
          <w:color w:val="333333"/>
          <w:sz w:val="21"/>
        </w:rPr>
        <w:t>Domain Concepts</w:t>
        <w:tab/>
        <w:t>7</w:t>
      </w:r>
    </w:p>
    <w:p>
      <w:pPr>
        <w:tabs>
          <w:tab w:pos="9072" w:val="right" w:leader="dot"/>
        </w:tabs>
        <w:spacing w:after="60"/>
        <w:ind w:left="432"/>
      </w:pPr>
      <w:r>
        <w:rPr>
          <w:rFonts w:ascii="Arial" w:hAnsi="Arial"/>
          <w:b w:val="0"/>
          <w:color w:val="333333"/>
          <w:sz w:val="21"/>
        </w:rPr>
        <w:t>Create basic charts</w:t>
        <w:tab/>
        <w:t>22</w:t>
      </w:r>
    </w:p>
    <w:p>
      <w:pPr>
        <w:tabs>
          <w:tab w:pos="9072" w:val="right" w:leader="dot"/>
        </w:tabs>
        <w:spacing w:after="60"/>
        <w:ind w:left="432"/>
      </w:pPr>
      <w:r>
        <w:rPr>
          <w:rFonts w:ascii="Arial" w:hAnsi="Arial"/>
          <w:b w:val="0"/>
          <w:color w:val="333333"/>
          <w:sz w:val="21"/>
        </w:rPr>
        <w:t>Organise data and apply filters</w:t>
        <w:tab/>
        <w:t>24</w:t>
      </w:r>
    </w:p>
    <w:p>
      <w:pPr>
        <w:tabs>
          <w:tab w:pos="9072" w:val="right" w:leader="dot"/>
        </w:tabs>
        <w:spacing w:after="60"/>
        <w:ind w:left="432"/>
      </w:pPr>
      <w:r>
        <w:rPr>
          <w:rFonts w:ascii="Arial" w:hAnsi="Arial"/>
          <w:b w:val="0"/>
          <w:color w:val="333333"/>
          <w:sz w:val="21"/>
        </w:rPr>
        <w:t>Apply analytics to a worksheet</w:t>
        <w:tab/>
        <w:t>25</w:t>
      </w:r>
    </w:p>
    <w:p>
      <w:pPr>
        <w:tabs>
          <w:tab w:pos="9072" w:val="right" w:leader="dot"/>
        </w:tabs>
        <w:spacing w:after="60"/>
        <w:ind w:left="432"/>
      </w:pPr>
      <w:r>
        <w:rPr>
          <w:rFonts w:ascii="Arial" w:hAnsi="Arial"/>
          <w:b w:val="0"/>
          <w:color w:val="333333"/>
          <w:sz w:val="21"/>
        </w:rPr>
        <w:t>Lab 04 — Build the Core Tableau Chart Portfolio</w:t>
        <w:tab/>
        <w:t>27</w:t>
      </w:r>
    </w:p>
    <w:p>
      <w:pPr>
        <w:tabs>
          <w:tab w:pos="9072" w:val="right" w:leader="dot"/>
        </w:tabs>
        <w:spacing w:after="60"/>
        <w:ind w:left="432"/>
      </w:pPr>
      <w:r>
        <w:rPr>
          <w:rFonts w:ascii="Arial" w:hAnsi="Arial"/>
          <w:b w:val="0"/>
          <w:color w:val="333333"/>
          <w:sz w:val="21"/>
        </w:rPr>
        <w:t>Lab 05 — Create Groups, Sets, Hierarchies and Filters</w:t>
        <w:tab/>
        <w:t>29</w:t>
      </w:r>
    </w:p>
    <w:p>
      <w:pPr>
        <w:tabs>
          <w:tab w:pos="9072" w:val="right" w:leader="dot"/>
        </w:tabs>
        <w:spacing w:after="60"/>
        <w:ind w:left="432"/>
      </w:pPr>
      <w:r>
        <w:rPr>
          <w:rFonts w:ascii="Arial" w:hAnsi="Arial"/>
          <w:b w:val="0"/>
          <w:color w:val="333333"/>
          <w:sz w:val="21"/>
        </w:rPr>
        <w:t>Lab 06 — Apply Calculations, Table Calculations and Parameters</w:t>
        <w:tab/>
        <w:t>31</w:t>
      </w:r>
    </w:p>
    <w:p>
      <w:pPr>
        <w:tabs>
          <w:tab w:pos="9072" w:val="right" w:leader="dot"/>
        </w:tabs>
        <w:spacing w:after="60"/>
        <w:ind w:left="432"/>
      </w:pPr>
      <w:r>
        <w:rPr>
          <w:rFonts w:ascii="Arial" w:hAnsi="Arial"/>
          <w:b w:val="0"/>
          <w:color w:val="333333"/>
          <w:sz w:val="21"/>
        </w:rPr>
        <w:t>Lab 07 — Analyse Southeast Asia Logistics Geographically</w:t>
        <w:tab/>
        <w:t>33</w:t>
      </w:r>
    </w:p>
    <w:p>
      <w:pPr>
        <w:tabs>
          <w:tab w:pos="9072" w:val="right" w:leader="dot"/>
        </w:tabs>
        <w:spacing w:after="60"/>
      </w:pPr>
      <w:r>
        <w:rPr>
          <w:rFonts w:ascii="Arial" w:hAnsi="Arial"/>
          <w:b/>
          <w:color w:val="333333"/>
          <w:sz w:val="22"/>
        </w:rPr>
        <w:t>Topic 03 — Sharing Insights with Dashboards and Workbooks (25%)</w:t>
        <w:tab/>
        <w:t>35</w:t>
      </w:r>
    </w:p>
    <w:p>
      <w:pPr>
        <w:tabs>
          <w:tab w:pos="9072" w:val="right" w:leader="dot"/>
        </w:tabs>
        <w:spacing w:after="60"/>
        <w:ind w:left="432"/>
      </w:pPr>
      <w:r>
        <w:rPr>
          <w:rFonts w:ascii="Arial" w:hAnsi="Arial"/>
          <w:b w:val="0"/>
          <w:color w:val="333333"/>
          <w:sz w:val="21"/>
        </w:rPr>
        <w:t>Domain Concepts</w:t>
        <w:tab/>
        <w:t>7</w:t>
      </w:r>
    </w:p>
    <w:p>
      <w:pPr>
        <w:tabs>
          <w:tab w:pos="9072" w:val="right" w:leader="dot"/>
        </w:tabs>
        <w:spacing w:after="60"/>
        <w:ind w:left="432"/>
      </w:pPr>
      <w:r>
        <w:rPr>
          <w:rFonts w:ascii="Arial" w:hAnsi="Arial"/>
          <w:b w:val="0"/>
          <w:color w:val="333333"/>
          <w:sz w:val="21"/>
        </w:rPr>
        <w:t>Format views for presentation</w:t>
        <w:tab/>
        <w:t>35</w:t>
      </w:r>
    </w:p>
    <w:p>
      <w:pPr>
        <w:tabs>
          <w:tab w:pos="9072" w:val="right" w:leader="dot"/>
        </w:tabs>
        <w:spacing w:after="60"/>
        <w:ind w:left="432"/>
      </w:pPr>
      <w:r>
        <w:rPr>
          <w:rFonts w:ascii="Arial" w:hAnsi="Arial"/>
          <w:b w:val="0"/>
          <w:color w:val="333333"/>
          <w:sz w:val="21"/>
        </w:rPr>
        <w:t>Create and modify a dashboard</w:t>
        <w:tab/>
        <w:t>36</w:t>
      </w:r>
    </w:p>
    <w:p>
      <w:pPr>
        <w:tabs>
          <w:tab w:pos="9072" w:val="right" w:leader="dot"/>
        </w:tabs>
        <w:spacing w:after="60"/>
        <w:ind w:left="432"/>
      </w:pPr>
      <w:r>
        <w:rPr>
          <w:rFonts w:ascii="Arial" w:hAnsi="Arial"/>
          <w:b w:val="0"/>
          <w:color w:val="333333"/>
          <w:sz w:val="21"/>
        </w:rPr>
        <w:t>View and share workbook data</w:t>
        <w:tab/>
        <w:t>37</w:t>
      </w:r>
    </w:p>
    <w:p>
      <w:pPr>
        <w:tabs>
          <w:tab w:pos="9072" w:val="right" w:leader="dot"/>
        </w:tabs>
        <w:spacing w:after="60"/>
        <w:ind w:left="432"/>
      </w:pPr>
      <w:r>
        <w:rPr>
          <w:rFonts w:ascii="Arial" w:hAnsi="Arial"/>
          <w:b w:val="0"/>
          <w:color w:val="333333"/>
          <w:sz w:val="21"/>
        </w:rPr>
        <w:t>Lab 08 — Build an Interactive Service Operations Dashboard</w:t>
        <w:tab/>
        <w:t>39</w:t>
      </w:r>
    </w:p>
    <w:p>
      <w:pPr>
        <w:tabs>
          <w:tab w:pos="9072" w:val="right" w:leader="dot"/>
        </w:tabs>
        <w:spacing w:after="60"/>
        <w:ind w:left="432"/>
      </w:pPr>
      <w:r>
        <w:rPr>
          <w:rFonts w:ascii="Arial" w:hAnsi="Arial"/>
          <w:b w:val="0"/>
          <w:color w:val="333333"/>
          <w:sz w:val="21"/>
        </w:rPr>
        <w:t>Lab 09 — Optimise, Package and Share an Executive Workbook</w:t>
        <w:tab/>
        <w:t>41</w:t>
      </w:r>
    </w:p>
    <w:p>
      <w:pPr>
        <w:tabs>
          <w:tab w:pos="9072" w:val="right" w:leader="dot"/>
        </w:tabs>
        <w:spacing w:after="60"/>
      </w:pPr>
      <w:r>
        <w:rPr>
          <w:rFonts w:ascii="Arial" w:hAnsi="Arial"/>
          <w:b/>
          <w:color w:val="333333"/>
          <w:sz w:val="22"/>
        </w:rPr>
        <w:t>Topic 04 — Understanding Tableau Concepts and Certification Preparation (15%)</w:t>
        <w:tab/>
        <w:t>43</w:t>
      </w:r>
    </w:p>
    <w:p>
      <w:pPr>
        <w:tabs>
          <w:tab w:pos="9072" w:val="right" w:leader="dot"/>
        </w:tabs>
        <w:spacing w:after="60"/>
        <w:ind w:left="432"/>
      </w:pPr>
      <w:r>
        <w:rPr>
          <w:rFonts w:ascii="Arial" w:hAnsi="Arial"/>
          <w:b w:val="0"/>
          <w:color w:val="333333"/>
          <w:sz w:val="21"/>
        </w:rPr>
        <w:t>Domain Concepts</w:t>
        <w:tab/>
        <w:t>7</w:t>
      </w:r>
    </w:p>
    <w:p>
      <w:pPr>
        <w:tabs>
          <w:tab w:pos="9072" w:val="right" w:leader="dot"/>
        </w:tabs>
        <w:spacing w:after="60"/>
        <w:ind w:left="432"/>
      </w:pPr>
      <w:r>
        <w:rPr>
          <w:rFonts w:ascii="Arial" w:hAnsi="Arial"/>
          <w:b w:val="0"/>
          <w:color w:val="333333"/>
          <w:sz w:val="21"/>
        </w:rPr>
        <w:t>Understand dimensions and measures</w:t>
        <w:tab/>
        <w:t>43</w:t>
      </w:r>
    </w:p>
    <w:p>
      <w:pPr>
        <w:tabs>
          <w:tab w:pos="9072" w:val="right" w:leader="dot"/>
        </w:tabs>
        <w:spacing w:after="60"/>
        <w:ind w:left="432"/>
      </w:pPr>
      <w:r>
        <w:rPr>
          <w:rFonts w:ascii="Arial" w:hAnsi="Arial"/>
          <w:b w:val="0"/>
          <w:color w:val="333333"/>
          <w:sz w:val="21"/>
        </w:rPr>
        <w:t>Understand discrete and continuous fields</w:t>
        <w:tab/>
        <w:t>44</w:t>
      </w:r>
    </w:p>
    <w:p>
      <w:pPr>
        <w:tabs>
          <w:tab w:pos="9072" w:val="right" w:leader="dot"/>
        </w:tabs>
        <w:spacing w:after="60"/>
        <w:ind w:left="432"/>
      </w:pPr>
      <w:r>
        <w:rPr>
          <w:rFonts w:ascii="Arial" w:hAnsi="Arial"/>
          <w:b w:val="0"/>
          <w:color w:val="333333"/>
          <w:sz w:val="21"/>
        </w:rPr>
        <w:t>Understand aggregations</w:t>
        <w:tab/>
        <w:t>44</w:t>
      </w:r>
    </w:p>
    <w:p>
      <w:pPr>
        <w:tabs>
          <w:tab w:pos="9072" w:val="right" w:leader="dot"/>
        </w:tabs>
        <w:spacing w:after="60"/>
        <w:ind w:left="432"/>
      </w:pPr>
      <w:r>
        <w:rPr>
          <w:rFonts w:ascii="Arial" w:hAnsi="Arial"/>
          <w:b w:val="0"/>
          <w:color w:val="333333"/>
          <w:sz w:val="21"/>
        </w:rPr>
        <w:t>Lab 10 — Capstone: Northstar Retail Executive Workbook</w:t>
        <w:tab/>
        <w:t>46</w:t>
      </w:r>
    </w:p>
    <w:p>
      <w:pPr>
        <w:tabs>
          <w:tab w:pos="9072" w:val="right" w:leader="dot"/>
        </w:tabs>
        <w:spacing w:after="60"/>
      </w:pPr>
      <w:r>
        <w:rPr>
          <w:rFonts w:ascii="Arial" w:hAnsi="Arial"/>
          <w:b/>
          <w:color w:val="333333"/>
          <w:sz w:val="22"/>
        </w:rPr>
        <w:t>Quick Tableau Reference</w:t>
        <w:tab/>
        <w:t>48</w:t>
      </w:r>
    </w:p>
    <w:p>
      <w:pPr>
        <w:tabs>
          <w:tab w:pos="9072" w:val="right" w:leader="dot"/>
        </w:tabs>
        <w:spacing w:after="60"/>
      </w:pPr>
      <w:r>
        <w:rPr>
          <w:rFonts w:ascii="Arial" w:hAnsi="Arial"/>
          <w:b/>
          <w:color w:val="333333"/>
          <w:sz w:val="22"/>
        </w:rPr>
        <w:t>Certification Preparation</w:t>
        <w:tab/>
        <w:t>48</w:t>
      </w:r>
    </w:p>
    <w:p>
      <w:pPr>
        <w:tabs>
          <w:tab w:pos="9072" w:val="right" w:leader="dot"/>
        </w:tabs>
        <w:spacing w:after="60"/>
      </w:pPr>
      <w:r>
        <w:rPr>
          <w:rFonts w:ascii="Arial" w:hAnsi="Arial"/>
          <w:b/>
          <w:color w:val="333333"/>
          <w:sz w:val="22"/>
        </w:rPr>
        <w:t>Support</w:t>
        <w:tab/>
        <w:t>49</w:t>
      </w:r>
    </w:p>
    <w:p>
      <w:r>
        <w:br w:type="page"/>
      </w:r>
    </w:p>
    <w:p>
      <w:pPr>
        <w:pStyle w:val="Heading1"/>
      </w:pPr>
      <w:r>
        <w:t>How to Use This Guide</w:t>
      </w:r>
    </w:p>
    <w:p>
      <w:r>
        <w:t>The slide deck teaches concepts, comparisons and exam reasoning. This Learner Guide contains the detailed click-by-click procedures. Keep it open beside Tableau Desktop and work through the eleven lab folders in order. Each lab is self-contained: README.md, a realistic Excel workbook, starter.twb and an acceptance checklist.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Synthetic data: </w:t>
            </w:r>
            <w:r>
              <w:t>All names and records in the lab workbooks are fictional and generated for training. They are safe for classroom use and must not be represented as real organisational results.</w:t>
            </w:r>
          </w:p>
        </w:tc>
      </w:tr>
    </w:tbl>
    <w:p>
      <w:pPr>
        <w:pStyle w:val="Heading2"/>
      </w:pPr>
      <w:r>
        <w:t>Course Information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Course</w:t>
            </w:r>
          </w:p>
        </w:tc>
        <w:tc>
          <w:tcPr>
            <w:tcW w:type="dxa" w:w="4320"/>
          </w:tcPr>
          <w:p>
            <w:r>
              <w:t>Tableau Data Prep Masterclass</w:t>
            </w:r>
          </w:p>
        </w:tc>
      </w:tr>
      <w:tr>
        <w:tc>
          <w:tcPr>
            <w:tcW w:type="dxa" w:w="4320"/>
            <w:shd w:val="clear" w:color="auto" w:fill="E8F0FE"/>
          </w:tcPr>
          <w:p>
            <w:r>
              <w:rPr>
                <w:b/>
              </w:rPr>
              <w:t>Course Code</w:t>
            </w:r>
          </w:p>
        </w:tc>
        <w:tc>
          <w:tcPr>
            <w:tcW w:type="dxa" w:w="4320"/>
          </w:tcPr>
          <w:p>
            <w:r>
              <w:t>C181</w:t>
            </w:r>
          </w:p>
        </w:tc>
      </w:tr>
      <w:tr>
        <w:tc>
          <w:tcPr>
            <w:tcW w:type="dxa" w:w="4320"/>
            <w:shd w:val="clear" w:color="auto" w:fill="E8F0FE"/>
          </w:tcPr>
          <w:p>
            <w:r>
              <w:rPr>
                <w:b/>
              </w:rPr>
              <w:t>Duration</w:t>
            </w:r>
          </w:p>
        </w:tc>
        <w:tc>
          <w:tcPr>
            <w:tcW w:type="dxa" w:w="4320"/>
          </w:tcPr>
          <w:p>
            <w:r>
              <w:t>2 days · 15 instructional hours</w:t>
            </w:r>
          </w:p>
        </w:tc>
      </w:tr>
      <w:tr>
        <w:tc>
          <w:tcPr>
            <w:tcW w:type="dxa" w:w="4320"/>
            <w:shd w:val="clear" w:color="auto" w:fill="E8F0FE"/>
          </w:tcPr>
          <w:p>
            <w:r>
              <w:rPr>
                <w:b/>
              </w:rPr>
              <w:t>Lab Root</w:t>
            </w:r>
          </w:p>
        </w:tc>
        <w:tc>
          <w:tcPr>
            <w:tcW w:type="dxa" w:w="4320"/>
          </w:tcPr>
          <w:p>
            <w:r>
              <w:t>labs/ — one folder per lab</w:t>
            </w:r>
          </w:p>
        </w:tc>
      </w:tr>
    </w:tbl>
    <w:p>
      <w:pPr>
        <w:pStyle w:val="Heading2"/>
      </w:pPr>
      <w:r>
        <w:t>Learning Outcomes</w:t>
      </w:r>
    </w:p>
    <w:p>
      <w:pPr>
        <w:pStyle w:val="ListBullet"/>
      </w:pPr>
      <w:r>
        <w:t>LO1: Identify and connect appropriate data sources, then prepare trustworthy Tableau data models.</w:t>
      </w:r>
    </w:p>
    <w:p>
      <w:pPr>
        <w:pStyle w:val="ListBullet"/>
      </w:pPr>
      <w:r>
        <w:t>LO2: Organise fields and create effective visual elements that answer business questions.</w:t>
      </w:r>
    </w:p>
    <w:p>
      <w:pPr>
        <w:pStyle w:val="ListBullet"/>
      </w:pPr>
      <w:r>
        <w:t>LO3: Extract, combine and analyse data using relationships, joins, unions, filters and calculations.</w:t>
      </w:r>
    </w:p>
    <w:p>
      <w:pPr>
        <w:pStyle w:val="ListBullet"/>
      </w:pPr>
      <w:r>
        <w:t>LO4: Build, format and share interactive dashboards and workbooks that communicate meaningful insights.</w:t>
      </w:r>
    </w:p>
    <w:p>
      <w:pPr>
        <w:pStyle w:val="Heading2"/>
      </w:pPr>
      <w:r>
        <w:t>Before You Start</w:t>
      </w:r>
    </w:p>
    <w:p>
      <w:pPr>
        <w:pStyle w:val="ListBullet"/>
      </w:pPr>
      <w:r>
        <w:t>Install or open Tableau Desktop. Tableau Public may be used for skills that do not require restricted connectors or private publishing.</w:t>
      </w:r>
    </w:p>
    <w:p>
      <w:pPr>
        <w:pStyle w:val="ListBullet"/>
      </w:pPr>
      <w:r>
        <w:t>Download or clone the repository and keep the complete lab folder structure.</w:t>
      </w:r>
    </w:p>
    <w:p>
      <w:pPr>
        <w:pStyle w:val="ListBullet"/>
      </w:pPr>
      <w:r>
        <w:t>Open each Excel workbook and read the Read Me, Data Dictionary and Control sheets before connecting Tableau.</w:t>
      </w:r>
    </w:p>
    <w:p>
      <w:pPr>
        <w:pStyle w:val="ListBullet"/>
      </w:pPr>
      <w:r>
        <w:t>Create an evidence subfolder within the current lab folder for screenshots and exports.</w:t>
      </w:r>
    </w:p>
    <w:p>
      <w:pPr>
        <w:pStyle w:val="ListBullet"/>
      </w:pPr>
      <w:r>
        <w:t>Use the supplied starter.twb as an empty shell, or create a new workbook if your Tableau version rejects an older workbook format.</w:t>
      </w:r>
    </w:p>
    <w:p>
      <w:pPr>
        <w:pStyle w:val="ListBullet"/>
      </w:pPr>
      <w:r>
        <w:t>Never upload real personal or confidential workplace data to Tableau Public.</w:t>
      </w:r>
    </w:p>
    <w:p>
      <w:pPr>
        <w:pStyle w:val="Heading2"/>
      </w:pPr>
      <w:r>
        <w:t>Standard Validation Routine</w:t>
      </w:r>
    </w:p>
    <w:p>
      <w:r>
        <w:t>1. State the expected grain of every sheet or table.</w:t>
      </w:r>
    </w:p>
    <w:p>
      <w:r>
        <w:t>2. Compare Tableau's row count and date range with the Excel Control sheet.</w:t>
      </w:r>
    </w:p>
    <w:p>
      <w:r>
        <w:t>3. Check null or unmatched keys before building the first view.</w:t>
      </w:r>
    </w:p>
    <w:p>
      <w:r>
        <w:t>4. Verify data type, geographic role, default aggregation and number/date format.</w:t>
      </w:r>
    </w:p>
    <w:p>
      <w:r>
        <w:t>5. Reconcile at least one total in Tableau with the workbook control total.</w:t>
      </w:r>
    </w:p>
    <w:p>
      <w:r>
        <w:t>6. Save evidence before proceeding.</w:t>
      </w:r>
    </w:p>
    <w:p>
      <w:r>
        <w:br w:type="page"/>
      </w:r>
    </w:p>
    <w:p>
      <w:pPr>
        <w:pStyle w:val="Heading1"/>
      </w:pPr>
      <w:r>
        <w:t>Topic 01 — Connecting to and Preparing Data in Tableau Desktop (23%)</w:t>
      </w:r>
    </w:p>
    <w:p>
      <w:r>
        <w:t>Connections · extracts · metadata · relationships · joins · unions · field properties · Tableau Prep cleansing</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Connection strategy</w:t>
            </w:r>
          </w:p>
        </w:tc>
        <w:tc>
          <w:tcPr>
            <w:tcW w:type="dxa" w:w="4320"/>
          </w:tcPr>
          <w:p>
            <w:r>
              <w:t>Live prioritises source freshness; extracts prioritise speed, portability and predictable performance.</w:t>
            </w:r>
          </w:p>
        </w:tc>
      </w:tr>
      <w:tr>
        <w:tc>
          <w:tcPr>
            <w:tcW w:type="dxa" w:w="4320"/>
          </w:tcPr>
          <w:p>
            <w:r>
              <w:rPr>
                <w:b/>
              </w:rPr>
              <w:t>Model at the right layer</w:t>
            </w:r>
          </w:p>
        </w:tc>
        <w:tc>
          <w:tcPr>
            <w:tcW w:type="dxa" w:w="4320"/>
          </w:tcPr>
          <w:p>
            <w:r>
              <w:t>Relationships preserve table grain; joins create one physical row set; unions append rows.</w:t>
            </w:r>
          </w:p>
        </w:tc>
      </w:tr>
      <w:tr>
        <w:tc>
          <w:tcPr>
            <w:tcW w:type="dxa" w:w="4320"/>
          </w:tcPr>
          <w:p>
            <w:r>
              <w:rPr>
                <w:b/>
              </w:rPr>
              <w:t>Metadata is quality</w:t>
            </w:r>
          </w:p>
        </w:tc>
        <w:tc>
          <w:tcPr>
            <w:tcW w:type="dxa" w:w="4320"/>
          </w:tcPr>
          <w:p>
            <w:r>
              <w:t>Names, aliases, types, roles, formats and defaults determine how fields behave.</w:t>
            </w:r>
          </w:p>
        </w:tc>
      </w:tr>
      <w:tr>
        <w:tc>
          <w:tcPr>
            <w:tcW w:type="dxa" w:w="4320"/>
          </w:tcPr>
          <w:p>
            <w:r>
              <w:rPr>
                <w:b/>
              </w:rPr>
              <w:t>Clean before you model</w:t>
            </w:r>
          </w:p>
        </w:tc>
        <w:tc>
          <w:tcPr>
            <w:tcW w:type="dxa" w:w="4320"/>
          </w:tcPr>
          <w:p>
            <w:r>
              <w:t>Tableau Prep Builder repairs types, splits, nulls, duplicates and inconsistent members before analysis.</w:t>
            </w:r>
          </w:p>
        </w:tc>
      </w:tr>
      <w:tr>
        <w:tc>
          <w:tcPr>
            <w:tcW w:type="dxa" w:w="4320"/>
          </w:tcPr>
          <w:p>
            <w:r>
              <w:rPr>
                <w:b/>
              </w:rPr>
              <w:t>Validate first</w:t>
            </w:r>
          </w:p>
        </w:tc>
        <w:tc>
          <w:tcPr>
            <w:tcW w:type="dxa" w:w="4320"/>
          </w:tcPr>
          <w:p>
            <w:r>
              <w:t>Check row counts, null keys, duplicated grain and unmatched records before trusting a view.</w:t>
            </w:r>
          </w:p>
        </w:tc>
      </w:tr>
    </w:tbl>
    <w:p>
      <w:pPr>
        <w:pStyle w:val="Heading2"/>
      </w:pPr>
      <w:r>
        <w:t>Create live connections and extracts</w:t>
      </w:r>
    </w:p>
    <w:p>
      <w:pPr>
        <w:pStyle w:val="Heading3"/>
      </w:pPr>
      <w:r>
        <w:t>1.1.1 — Create a live connection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live connection sends queries to the source during interaction.</w:t>
            </w:r>
          </w:p>
        </w:tc>
      </w:tr>
      <w:tr>
        <w:tc>
          <w:tcPr>
            <w:tcW w:type="dxa" w:w="4320"/>
            <w:shd w:val="clear" w:color="auto" w:fill="E8F0FE"/>
          </w:tcPr>
          <w:p>
            <w:r>
              <w:rPr>
                <w:b/>
              </w:rPr>
              <w:t>Use when</w:t>
            </w:r>
          </w:p>
        </w:tc>
        <w:tc>
          <w:tcPr>
            <w:tcW w:type="dxa" w:w="4320"/>
          </w:tcPr>
          <w:p>
            <w:r>
              <w:t>Use when source freshness and central governance matter.</w:t>
            </w:r>
          </w:p>
        </w:tc>
      </w:tr>
      <w:tr>
        <w:tc>
          <w:tcPr>
            <w:tcW w:type="dxa" w:w="4320"/>
            <w:shd w:val="clear" w:color="auto" w:fill="E8F0FE"/>
          </w:tcPr>
          <w:p>
            <w:r>
              <w:rPr>
                <w:b/>
              </w:rPr>
              <w:t>Exam clue</w:t>
            </w:r>
          </w:p>
        </w:tc>
        <w:tc>
          <w:tcPr>
            <w:tcW w:type="dxa" w:w="4320"/>
          </w:tcPr>
          <w:p>
            <w:r>
              <w:t>Current or real-time scenarios usually point to live.</w:t>
            </w:r>
          </w:p>
        </w:tc>
      </w:tr>
      <w:tr>
        <w:tc>
          <w:tcPr>
            <w:tcW w:type="dxa" w:w="4320"/>
            <w:shd w:val="clear" w:color="auto" w:fill="E8F0FE"/>
          </w:tcPr>
          <w:p>
            <w:r>
              <w:rPr>
                <w:b/>
              </w:rPr>
              <w:t>Pitfall</w:t>
            </w:r>
          </w:p>
        </w:tc>
        <w:tc>
          <w:tcPr>
            <w:tcW w:type="dxa" w:w="4320"/>
          </w:tcPr>
          <w:p>
            <w:r>
              <w:t>Live is not automatically faster; network and query design still govern response time.</w:t>
            </w:r>
          </w:p>
        </w:tc>
      </w:tr>
    </w:tbl>
    <w:p>
      <w:pPr>
        <w:pStyle w:val="Heading3"/>
      </w:pPr>
      <w:r>
        <w:t>1.1.2 — Live versus extract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The choice balances freshness, performance, portability and supported features.</w:t>
            </w:r>
          </w:p>
        </w:tc>
      </w:tr>
      <w:tr>
        <w:tc>
          <w:tcPr>
            <w:tcW w:type="dxa" w:w="4320"/>
            <w:shd w:val="clear" w:color="auto" w:fill="E8F0FE"/>
          </w:tcPr>
          <w:p>
            <w:r>
              <w:rPr>
                <w:b/>
              </w:rPr>
              <w:t>Use when</w:t>
            </w:r>
          </w:p>
        </w:tc>
        <w:tc>
          <w:tcPr>
            <w:tcW w:type="dxa" w:w="4320"/>
          </w:tcPr>
          <w:p>
            <w:r>
              <w:t>Use an extract for offline analysis, acceleration or a stable reporting snapshot.</w:t>
            </w:r>
          </w:p>
        </w:tc>
      </w:tr>
      <w:tr>
        <w:tc>
          <w:tcPr>
            <w:tcW w:type="dxa" w:w="4320"/>
            <w:shd w:val="clear" w:color="auto" w:fill="E8F0FE"/>
          </w:tcPr>
          <w:p>
            <w:r>
              <w:rPr>
                <w:b/>
              </w:rPr>
              <w:t>Exam clue</w:t>
            </w:r>
          </w:p>
        </w:tc>
        <w:tc>
          <w:tcPr>
            <w:tcW w:type="dxa" w:w="4320"/>
          </w:tcPr>
          <w:p>
            <w:r>
              <w:t>Select the mode that serves the scenario's priority.</w:t>
            </w:r>
          </w:p>
        </w:tc>
      </w:tr>
      <w:tr>
        <w:tc>
          <w:tcPr>
            <w:tcW w:type="dxa" w:w="4320"/>
            <w:shd w:val="clear" w:color="auto" w:fill="E8F0FE"/>
          </w:tcPr>
          <w:p>
            <w:r>
              <w:rPr>
                <w:b/>
              </w:rPr>
              <w:t>Pitfall</w:t>
            </w:r>
          </w:p>
        </w:tc>
        <w:tc>
          <w:tcPr>
            <w:tcW w:type="dxa" w:w="4320"/>
          </w:tcPr>
          <w:p>
            <w:r>
              <w:t>An extract becomes stale until refreshed; a live connection may still cache results.</w:t>
            </w:r>
          </w:p>
        </w:tc>
      </w:tr>
    </w:tbl>
    <w:p>
      <w:pPr>
        <w:pStyle w:val="Heading3"/>
      </w:pPr>
      <w:r>
        <w:t>1.1.3 — Create and refresh an extract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An extract materialises selected data in Tableau's columnar .hyper format.</w:t>
            </w:r>
          </w:p>
        </w:tc>
      </w:tr>
      <w:tr>
        <w:tc>
          <w:tcPr>
            <w:tcW w:type="dxa" w:w="4320"/>
            <w:shd w:val="clear" w:color="auto" w:fill="E8F0FE"/>
          </w:tcPr>
          <w:p>
            <w:r>
              <w:rPr>
                <w:b/>
              </w:rPr>
              <w:t>Use when</w:t>
            </w:r>
          </w:p>
        </w:tc>
        <w:tc>
          <w:tcPr>
            <w:tcW w:type="dxa" w:w="4320"/>
          </w:tcPr>
          <w:p>
            <w:r>
              <w:t>Filter rows or columns when the complete source is unnecessary.</w:t>
            </w:r>
          </w:p>
        </w:tc>
      </w:tr>
      <w:tr>
        <w:tc>
          <w:tcPr>
            <w:tcW w:type="dxa" w:w="4320"/>
            <w:shd w:val="clear" w:color="auto" w:fill="E8F0FE"/>
          </w:tcPr>
          <w:p>
            <w:r>
              <w:rPr>
                <w:b/>
              </w:rPr>
              <w:t>Exam clue</w:t>
            </w:r>
          </w:p>
        </w:tc>
        <w:tc>
          <w:tcPr>
            <w:tcW w:type="dxa" w:w="4320"/>
          </w:tcPr>
          <w:p>
            <w:r>
              <w:t>Full refresh rebuilds; incremental refresh adds rows using a reliable key.</w:t>
            </w:r>
          </w:p>
        </w:tc>
      </w:tr>
      <w:tr>
        <w:tc>
          <w:tcPr>
            <w:tcW w:type="dxa" w:w="4320"/>
            <w:shd w:val="clear" w:color="auto" w:fill="E8F0FE"/>
          </w:tcPr>
          <w:p>
            <w:r>
              <w:rPr>
                <w:b/>
              </w:rPr>
              <w:t>Pitfall</w:t>
            </w:r>
          </w:p>
        </w:tc>
        <w:tc>
          <w:tcPr>
            <w:tcW w:type="dxa" w:w="4320"/>
          </w:tcPr>
          <w:p>
            <w:r>
              <w:t>Incremental refresh does not update changed historical rows by itself.</w:t>
            </w:r>
          </w:p>
        </w:tc>
      </w:tr>
    </w:tbl>
    <w:p>
      <w:pPr>
        <w:pStyle w:val="Heading3"/>
      </w:pPr>
      <w:r>
        <w:t>1.1.4 — Save metadata in a .TDS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Tableau Data Source file stores connection details and field metadata.</w:t>
            </w:r>
          </w:p>
        </w:tc>
      </w:tr>
      <w:tr>
        <w:tc>
          <w:tcPr>
            <w:tcW w:type="dxa" w:w="4320"/>
            <w:shd w:val="clear" w:color="auto" w:fill="E8F0FE"/>
          </w:tcPr>
          <w:p>
            <w:r>
              <w:rPr>
                <w:b/>
              </w:rPr>
              <w:t>Use when</w:t>
            </w:r>
          </w:p>
        </w:tc>
        <w:tc>
          <w:tcPr>
            <w:tcW w:type="dxa" w:w="4320"/>
          </w:tcPr>
          <w:p>
            <w:r>
              <w:t>Use it to standardise names, aliases, roles, folders and calculations.</w:t>
            </w:r>
          </w:p>
        </w:tc>
      </w:tr>
      <w:tr>
        <w:tc>
          <w:tcPr>
            <w:tcW w:type="dxa" w:w="4320"/>
            <w:shd w:val="clear" w:color="auto" w:fill="E8F0FE"/>
          </w:tcPr>
          <w:p>
            <w:r>
              <w:rPr>
                <w:b/>
              </w:rPr>
              <w:t>Exam clue</w:t>
            </w:r>
          </w:p>
        </w:tc>
        <w:tc>
          <w:tcPr>
            <w:tcW w:type="dxa" w:w="4320"/>
          </w:tcPr>
          <w:p>
            <w:r>
              <w:t>TDS contains metadata; TDSX packages metadata with local files or extracts.</w:t>
            </w:r>
          </w:p>
        </w:tc>
      </w:tr>
      <w:tr>
        <w:tc>
          <w:tcPr>
            <w:tcW w:type="dxa" w:w="4320"/>
            <w:shd w:val="clear" w:color="auto" w:fill="E8F0FE"/>
          </w:tcPr>
          <w:p>
            <w:r>
              <w:rPr>
                <w:b/>
              </w:rPr>
              <w:t>Pitfall</w:t>
            </w:r>
          </w:p>
        </w:tc>
        <w:tc>
          <w:tcPr>
            <w:tcW w:type="dxa" w:w="4320"/>
          </w:tcPr>
          <w:p>
            <w:r>
              <w:t>Do not confuse a data source definition with a packaged workbook (.twbx).</w:t>
            </w:r>
          </w:p>
        </w:tc>
      </w:tr>
    </w:tbl>
    <w:p>
      <w:pPr>
        <w:pStyle w:val="Heading3"/>
      </w:pPr>
      <w:r>
        <w:t>1.1.5 — Use multiple connections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data source may combine file, database or published connections.</w:t>
            </w:r>
          </w:p>
        </w:tc>
      </w:tr>
      <w:tr>
        <w:tc>
          <w:tcPr>
            <w:tcW w:type="dxa" w:w="4320"/>
            <w:shd w:val="clear" w:color="auto" w:fill="E8F0FE"/>
          </w:tcPr>
          <w:p>
            <w:r>
              <w:rPr>
                <w:b/>
              </w:rPr>
              <w:t>Use when</w:t>
            </w:r>
          </w:p>
        </w:tc>
        <w:tc>
          <w:tcPr>
            <w:tcW w:type="dxa" w:w="4320"/>
          </w:tcPr>
          <w:p>
            <w:r>
              <w:t>Use when required tables do not reside in the same connection.</w:t>
            </w:r>
          </w:p>
        </w:tc>
      </w:tr>
      <w:tr>
        <w:tc>
          <w:tcPr>
            <w:tcW w:type="dxa" w:w="4320"/>
            <w:shd w:val="clear" w:color="auto" w:fill="E8F0FE"/>
          </w:tcPr>
          <w:p>
            <w:r>
              <w:rPr>
                <w:b/>
              </w:rPr>
              <w:t>Exam clue</w:t>
            </w:r>
          </w:p>
        </w:tc>
        <w:tc>
          <w:tcPr>
            <w:tcW w:type="dxa" w:w="4320"/>
          </w:tcPr>
          <w:p>
            <w:r>
              <w:t>Connection is transport; data source is the analytical model exposed to sheets.</w:t>
            </w:r>
          </w:p>
        </w:tc>
      </w:tr>
      <w:tr>
        <w:tc>
          <w:tcPr>
            <w:tcW w:type="dxa" w:w="4320"/>
            <w:shd w:val="clear" w:color="auto" w:fill="E8F0FE"/>
          </w:tcPr>
          <w:p>
            <w:r>
              <w:rPr>
                <w:b/>
              </w:rPr>
              <w:t>Pitfall</w:t>
            </w:r>
          </w:p>
        </w:tc>
        <w:tc>
          <w:tcPr>
            <w:tcW w:type="dxa" w:w="4320"/>
          </w:tcPr>
          <w:p>
            <w:r>
              <w:t>Cross-database joins can add query cost and connector limitations.</w:t>
            </w:r>
          </w:p>
        </w:tc>
      </w:tr>
    </w:tbl>
    <w:p>
      <w:pPr>
        <w:pStyle w:val="Heading2"/>
      </w:pPr>
      <w:r>
        <w:t>Create and manage the data model</w:t>
      </w:r>
    </w:p>
    <w:p>
      <w:pPr>
        <w:pStyle w:val="Heading3"/>
      </w:pPr>
      <w:r>
        <w:t>1.2.1 — Add relationships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Relationships describe how logical tables correspond without flattening first.</w:t>
            </w:r>
          </w:p>
        </w:tc>
      </w:tr>
      <w:tr>
        <w:tc>
          <w:tcPr>
            <w:tcW w:type="dxa" w:w="4320"/>
            <w:shd w:val="clear" w:color="auto" w:fill="E8F0FE"/>
          </w:tcPr>
          <w:p>
            <w:r>
              <w:rPr>
                <w:b/>
              </w:rPr>
              <w:t>Use when</w:t>
            </w:r>
          </w:p>
        </w:tc>
        <w:tc>
          <w:tcPr>
            <w:tcW w:type="dxa" w:w="4320"/>
          </w:tcPr>
          <w:p>
            <w:r>
              <w:t>Use for multi-fact models or tables at different grains.</w:t>
            </w:r>
          </w:p>
        </w:tc>
      </w:tr>
      <w:tr>
        <w:tc>
          <w:tcPr>
            <w:tcW w:type="dxa" w:w="4320"/>
            <w:shd w:val="clear" w:color="auto" w:fill="E8F0FE"/>
          </w:tcPr>
          <w:p>
            <w:r>
              <w:rPr>
                <w:b/>
              </w:rPr>
              <w:t>Exam clue</w:t>
            </w:r>
          </w:p>
        </w:tc>
        <w:tc>
          <w:tcPr>
            <w:tcW w:type="dxa" w:w="4320"/>
          </w:tcPr>
          <w:p>
            <w:r>
              <w:t>Tableau chooses context-aware joins and aggregation from fields in the view.</w:t>
            </w:r>
          </w:p>
        </w:tc>
      </w:tr>
      <w:tr>
        <w:tc>
          <w:tcPr>
            <w:tcW w:type="dxa" w:w="4320"/>
            <w:shd w:val="clear" w:color="auto" w:fill="E8F0FE"/>
          </w:tcPr>
          <w:p>
            <w:r>
              <w:rPr>
                <w:b/>
              </w:rPr>
              <w:t>Pitfall</w:t>
            </w:r>
          </w:p>
        </w:tc>
        <w:tc>
          <w:tcPr>
            <w:tcW w:type="dxa" w:w="4320"/>
          </w:tcPr>
          <w:p>
            <w:r>
              <w:t>Incorrect cardinality assumptions can produce unexpected results.</w:t>
            </w:r>
          </w:p>
        </w:tc>
      </w:tr>
    </w:tbl>
    <w:p>
      <w:pPr>
        <w:pStyle w:val="Heading3"/>
      </w:pPr>
      <w:r>
        <w:t>1.2.2a — Add joins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join combines physical tables using matching clauses.</w:t>
            </w:r>
          </w:p>
        </w:tc>
      </w:tr>
      <w:tr>
        <w:tc>
          <w:tcPr>
            <w:tcW w:type="dxa" w:w="4320"/>
            <w:shd w:val="clear" w:color="auto" w:fill="E8F0FE"/>
          </w:tcPr>
          <w:p>
            <w:r>
              <w:rPr>
                <w:b/>
              </w:rPr>
              <w:t>Use when</w:t>
            </w:r>
          </w:p>
        </w:tc>
        <w:tc>
          <w:tcPr>
            <w:tcW w:type="dxa" w:w="4320"/>
          </w:tcPr>
          <w:p>
            <w:r>
              <w:t>Use when row-level control and one flattened table are required.</w:t>
            </w:r>
          </w:p>
        </w:tc>
      </w:tr>
      <w:tr>
        <w:tc>
          <w:tcPr>
            <w:tcW w:type="dxa" w:w="4320"/>
            <w:shd w:val="clear" w:color="auto" w:fill="E8F0FE"/>
          </w:tcPr>
          <w:p>
            <w:r>
              <w:rPr>
                <w:b/>
              </w:rPr>
              <w:t>Exam clue</w:t>
            </w:r>
          </w:p>
        </w:tc>
        <w:tc>
          <w:tcPr>
            <w:tcW w:type="dxa" w:w="4320"/>
          </w:tcPr>
          <w:p>
            <w:r>
              <w:t>Inner keeps matches; left preserves all left rows; right/full follow preservation logic.</w:t>
            </w:r>
          </w:p>
        </w:tc>
      </w:tr>
      <w:tr>
        <w:tc>
          <w:tcPr>
            <w:tcW w:type="dxa" w:w="4320"/>
            <w:shd w:val="clear" w:color="auto" w:fill="E8F0FE"/>
          </w:tcPr>
          <w:p>
            <w:r>
              <w:rPr>
                <w:b/>
              </w:rPr>
              <w:t>Pitfall</w:t>
            </w:r>
          </w:p>
        </w:tc>
        <w:tc>
          <w:tcPr>
            <w:tcW w:type="dxa" w:w="4320"/>
          </w:tcPr>
          <w:p>
            <w:r>
              <w:t>Many-to-many joins can multiply rows and inflate measures.</w:t>
            </w:r>
          </w:p>
        </w:tc>
      </w:tr>
    </w:tbl>
    <w:p>
      <w:pPr>
        <w:pStyle w:val="Heading3"/>
      </w:pPr>
      <w:r>
        <w:t>1.2.2b — Add unions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union stacks records vertically from compatible tables.</w:t>
            </w:r>
          </w:p>
        </w:tc>
      </w:tr>
      <w:tr>
        <w:tc>
          <w:tcPr>
            <w:tcW w:type="dxa" w:w="4320"/>
            <w:shd w:val="clear" w:color="auto" w:fill="E8F0FE"/>
          </w:tcPr>
          <w:p>
            <w:r>
              <w:rPr>
                <w:b/>
              </w:rPr>
              <w:t>Use when</w:t>
            </w:r>
          </w:p>
        </w:tc>
        <w:tc>
          <w:tcPr>
            <w:tcW w:type="dxa" w:w="4320"/>
          </w:tcPr>
          <w:p>
            <w:r>
              <w:t>Use for monthly or regional files with the same columns.</w:t>
            </w:r>
          </w:p>
        </w:tc>
      </w:tr>
      <w:tr>
        <w:tc>
          <w:tcPr>
            <w:tcW w:type="dxa" w:w="4320"/>
            <w:shd w:val="clear" w:color="auto" w:fill="E8F0FE"/>
          </w:tcPr>
          <w:p>
            <w:r>
              <w:rPr>
                <w:b/>
              </w:rPr>
              <w:t>Exam clue</w:t>
            </w:r>
          </w:p>
        </w:tc>
        <w:tc>
          <w:tcPr>
            <w:tcW w:type="dxa" w:w="4320"/>
          </w:tcPr>
          <w:p>
            <w:r>
              <w:t>Wildcard unions can include similarly named tables or files.</w:t>
            </w:r>
          </w:p>
        </w:tc>
      </w:tr>
      <w:tr>
        <w:tc>
          <w:tcPr>
            <w:tcW w:type="dxa" w:w="4320"/>
            <w:shd w:val="clear" w:color="auto" w:fill="E8F0FE"/>
          </w:tcPr>
          <w:p>
            <w:r>
              <w:rPr>
                <w:b/>
              </w:rPr>
              <w:t>Pitfall</w:t>
            </w:r>
          </w:p>
        </w:tc>
        <w:tc>
          <w:tcPr>
            <w:tcW w:type="dxa" w:w="4320"/>
          </w:tcPr>
          <w:p>
            <w:r>
              <w:t>Mismatched names create separate columns until they are merged.</w:t>
            </w:r>
          </w:p>
        </w:tc>
      </w:tr>
    </w:tbl>
    <w:p>
      <w:pPr>
        <w:pStyle w:val="Heading3"/>
      </w:pPr>
      <w:r>
        <w:t>1.2.3 — Choose join or relationship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Relationships preserve independent grains; joins establish one physical grain.</w:t>
            </w:r>
          </w:p>
        </w:tc>
      </w:tr>
      <w:tr>
        <w:tc>
          <w:tcPr>
            <w:tcW w:type="dxa" w:w="4320"/>
            <w:shd w:val="clear" w:color="auto" w:fill="E8F0FE"/>
          </w:tcPr>
          <w:p>
            <w:r>
              <w:rPr>
                <w:b/>
              </w:rPr>
              <w:t>Use when</w:t>
            </w:r>
          </w:p>
        </w:tc>
        <w:tc>
          <w:tcPr>
            <w:tcW w:type="dxa" w:w="4320"/>
          </w:tcPr>
          <w:p>
            <w:r>
              <w:t>Prefer relationships for flexible analysis; use joins for deliberate shaping.</w:t>
            </w:r>
          </w:p>
        </w:tc>
      </w:tr>
      <w:tr>
        <w:tc>
          <w:tcPr>
            <w:tcW w:type="dxa" w:w="4320"/>
            <w:shd w:val="clear" w:color="auto" w:fill="E8F0FE"/>
          </w:tcPr>
          <w:p>
            <w:r>
              <w:rPr>
                <w:b/>
              </w:rPr>
              <w:t>Exam clue</w:t>
            </w:r>
          </w:p>
        </w:tc>
        <w:tc>
          <w:tcPr>
            <w:tcW w:type="dxa" w:w="4320"/>
          </w:tcPr>
          <w:p>
            <w:r>
              <w:t>Different grains or duplicated measures usually favour relationships.</w:t>
            </w:r>
          </w:p>
        </w:tc>
      </w:tr>
      <w:tr>
        <w:tc>
          <w:tcPr>
            <w:tcW w:type="dxa" w:w="4320"/>
            <w:shd w:val="clear" w:color="auto" w:fill="E8F0FE"/>
          </w:tcPr>
          <w:p>
            <w:r>
              <w:rPr>
                <w:b/>
              </w:rPr>
              <w:t>Pitfall</w:t>
            </w:r>
          </w:p>
        </w:tc>
        <w:tc>
          <w:tcPr>
            <w:tcW w:type="dxa" w:w="4320"/>
          </w:tcPr>
          <w:p>
            <w:r>
              <w:t>A relationship line does not guarantee correct keys; validate it.</w:t>
            </w:r>
          </w:p>
        </w:tc>
      </w:tr>
    </w:tbl>
    <w:p>
      <w:pPr>
        <w:pStyle w:val="Heading2"/>
      </w:pPr>
      <w:r>
        <w:t>Manage data properties</w:t>
      </w:r>
    </w:p>
    <w:p>
      <w:pPr>
        <w:pStyle w:val="Heading3"/>
      </w:pPr>
      <w:r>
        <w:t>1.3.1 — Rename a field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caption can be business-friendly without changing the source column.</w:t>
            </w:r>
          </w:p>
        </w:tc>
      </w:tr>
      <w:tr>
        <w:tc>
          <w:tcPr>
            <w:tcW w:type="dxa" w:w="4320"/>
            <w:shd w:val="clear" w:color="auto" w:fill="E8F0FE"/>
          </w:tcPr>
          <w:p>
            <w:r>
              <w:rPr>
                <w:b/>
              </w:rPr>
              <w:t>Use when</w:t>
            </w:r>
          </w:p>
        </w:tc>
        <w:tc>
          <w:tcPr>
            <w:tcW w:type="dxa" w:w="4320"/>
          </w:tcPr>
          <w:p>
            <w:r>
              <w:t>Replace codes or database naming conventions with clear language.</w:t>
            </w:r>
          </w:p>
        </w:tc>
      </w:tr>
      <w:tr>
        <w:tc>
          <w:tcPr>
            <w:tcW w:type="dxa" w:w="4320"/>
            <w:shd w:val="clear" w:color="auto" w:fill="E8F0FE"/>
          </w:tcPr>
          <w:p>
            <w:r>
              <w:rPr>
                <w:b/>
              </w:rPr>
              <w:t>Exam clue</w:t>
            </w:r>
          </w:p>
        </w:tc>
        <w:tc>
          <w:tcPr>
            <w:tcW w:type="dxa" w:w="4320"/>
          </w:tcPr>
          <w:p>
            <w:r>
              <w:t>Renaming affects Tableau metadata, not the source system.</w:t>
            </w:r>
          </w:p>
        </w:tc>
      </w:tr>
      <w:tr>
        <w:tc>
          <w:tcPr>
            <w:tcW w:type="dxa" w:w="4320"/>
            <w:shd w:val="clear" w:color="auto" w:fill="E8F0FE"/>
          </w:tcPr>
          <w:p>
            <w:r>
              <w:rPr>
                <w:b/>
              </w:rPr>
              <w:t>Pitfall</w:t>
            </w:r>
          </w:p>
        </w:tc>
        <w:tc>
          <w:tcPr>
            <w:tcW w:type="dxa" w:w="4320"/>
          </w:tcPr>
          <w:p>
            <w:r>
              <w:t>Do not create ambiguous duplicate captions.</w:t>
            </w:r>
          </w:p>
        </w:tc>
      </w:tr>
    </w:tbl>
    <w:p>
      <w:pPr>
        <w:pStyle w:val="Heading3"/>
      </w:pPr>
      <w:r>
        <w:t>1.3.2 — Assign aliases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Aliases replace displayed member labels while retaining original values.</w:t>
            </w:r>
          </w:p>
        </w:tc>
      </w:tr>
      <w:tr>
        <w:tc>
          <w:tcPr>
            <w:tcW w:type="dxa" w:w="4320"/>
            <w:shd w:val="clear" w:color="auto" w:fill="E8F0FE"/>
          </w:tcPr>
          <w:p>
            <w:r>
              <w:rPr>
                <w:b/>
              </w:rPr>
              <w:t>Use when</w:t>
            </w:r>
          </w:p>
        </w:tc>
        <w:tc>
          <w:tcPr>
            <w:tcW w:type="dxa" w:w="4320"/>
          </w:tcPr>
          <w:p>
            <w:r>
              <w:t>Use for abbreviations or coded categories.</w:t>
            </w:r>
          </w:p>
        </w:tc>
      </w:tr>
      <w:tr>
        <w:tc>
          <w:tcPr>
            <w:tcW w:type="dxa" w:w="4320"/>
            <w:shd w:val="clear" w:color="auto" w:fill="E8F0FE"/>
          </w:tcPr>
          <w:p>
            <w:r>
              <w:rPr>
                <w:b/>
              </w:rPr>
              <w:t>Exam clue</w:t>
            </w:r>
          </w:p>
        </w:tc>
        <w:tc>
          <w:tcPr>
            <w:tcW w:type="dxa" w:w="4320"/>
          </w:tcPr>
          <w:p>
            <w:r>
              <w:t>Aliases apply to discrete dimension members.</w:t>
            </w:r>
          </w:p>
        </w:tc>
      </w:tr>
      <w:tr>
        <w:tc>
          <w:tcPr>
            <w:tcW w:type="dxa" w:w="4320"/>
            <w:shd w:val="clear" w:color="auto" w:fill="E8F0FE"/>
          </w:tcPr>
          <w:p>
            <w:r>
              <w:rPr>
                <w:b/>
              </w:rPr>
              <w:t>Pitfall</w:t>
            </w:r>
          </w:p>
        </w:tc>
        <w:tc>
          <w:tcPr>
            <w:tcW w:type="dxa" w:w="4320"/>
          </w:tcPr>
          <w:p>
            <w:r>
              <w:t>Aliases do not cleanse the source value.</w:t>
            </w:r>
          </w:p>
        </w:tc>
      </w:tr>
    </w:tbl>
    <w:p>
      <w:pPr>
        <w:pStyle w:val="Heading3"/>
      </w:pPr>
      <w:r>
        <w:t>1.3.3 — Assign geographic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geographic role tells Tableau how to geocode a field.</w:t>
            </w:r>
          </w:p>
        </w:tc>
      </w:tr>
      <w:tr>
        <w:tc>
          <w:tcPr>
            <w:tcW w:type="dxa" w:w="4320"/>
            <w:shd w:val="clear" w:color="auto" w:fill="E8F0FE"/>
          </w:tcPr>
          <w:p>
            <w:r>
              <w:rPr>
                <w:b/>
              </w:rPr>
              <w:t>Use when</w:t>
            </w:r>
          </w:p>
        </w:tc>
        <w:tc>
          <w:tcPr>
            <w:tcW w:type="dxa" w:w="4320"/>
          </w:tcPr>
          <w:p>
            <w:r>
              <w:t>Use for country, state, city, postal code or custom location analysis.</w:t>
            </w:r>
          </w:p>
        </w:tc>
      </w:tr>
      <w:tr>
        <w:tc>
          <w:tcPr>
            <w:tcW w:type="dxa" w:w="4320"/>
            <w:shd w:val="clear" w:color="auto" w:fill="E8F0FE"/>
          </w:tcPr>
          <w:p>
            <w:r>
              <w:rPr>
                <w:b/>
              </w:rPr>
              <w:t>Exam clue</w:t>
            </w:r>
          </w:p>
        </w:tc>
        <w:tc>
          <w:tcPr>
            <w:tcW w:type="dxa" w:w="4320"/>
          </w:tcPr>
          <w:p>
            <w:r>
              <w:t>Generated Latitude and Longitude appear after a valid role.</w:t>
            </w:r>
          </w:p>
        </w:tc>
      </w:tr>
      <w:tr>
        <w:tc>
          <w:tcPr>
            <w:tcW w:type="dxa" w:w="4320"/>
            <w:shd w:val="clear" w:color="auto" w:fill="E8F0FE"/>
          </w:tcPr>
          <w:p>
            <w:r>
              <w:rPr>
                <w:b/>
              </w:rPr>
              <w:t>Pitfall</w:t>
            </w:r>
          </w:p>
        </w:tc>
        <w:tc>
          <w:tcPr>
            <w:tcW w:type="dxa" w:w="4320"/>
          </w:tcPr>
          <w:p>
            <w:r>
              <w:t>Ambiguous places need country or state context.</w:t>
            </w:r>
          </w:p>
        </w:tc>
      </w:tr>
    </w:tbl>
    <w:p>
      <w:pPr>
        <w:pStyle w:val="Heading3"/>
      </w:pPr>
      <w:r>
        <w:t>1.3.4 — Change a data type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The type defines valid operations, parsing and visual encodings.</w:t>
            </w:r>
          </w:p>
        </w:tc>
      </w:tr>
      <w:tr>
        <w:tc>
          <w:tcPr>
            <w:tcW w:type="dxa" w:w="4320"/>
            <w:shd w:val="clear" w:color="auto" w:fill="E8F0FE"/>
          </w:tcPr>
          <w:p>
            <w:r>
              <w:rPr>
                <w:b/>
              </w:rPr>
              <w:t>Use when</w:t>
            </w:r>
          </w:p>
        </w:tc>
        <w:tc>
          <w:tcPr>
            <w:tcW w:type="dxa" w:w="4320"/>
          </w:tcPr>
          <w:p>
            <w:r>
              <w:t>Correct imported IDs, dates, decimals and Boolean indicators.</w:t>
            </w:r>
          </w:p>
        </w:tc>
      </w:tr>
      <w:tr>
        <w:tc>
          <w:tcPr>
            <w:tcW w:type="dxa" w:w="4320"/>
            <w:shd w:val="clear" w:color="auto" w:fill="E8F0FE"/>
          </w:tcPr>
          <w:p>
            <w:r>
              <w:rPr>
                <w:b/>
              </w:rPr>
              <w:t>Exam clue</w:t>
            </w:r>
          </w:p>
        </w:tc>
        <w:tc>
          <w:tcPr>
            <w:tcW w:type="dxa" w:w="4320"/>
          </w:tcPr>
          <w:p>
            <w:r>
              <w:t>A calendar-looking string is not a date until parsed correctly.</w:t>
            </w:r>
          </w:p>
        </w:tc>
      </w:tr>
      <w:tr>
        <w:tc>
          <w:tcPr>
            <w:tcW w:type="dxa" w:w="4320"/>
            <w:shd w:val="clear" w:color="auto" w:fill="E8F0FE"/>
          </w:tcPr>
          <w:p>
            <w:r>
              <w:rPr>
                <w:b/>
              </w:rPr>
              <w:t>Pitfall</w:t>
            </w:r>
          </w:p>
        </w:tc>
        <w:tc>
          <w:tcPr>
            <w:tcW w:type="dxa" w:w="4320"/>
          </w:tcPr>
          <w:p>
            <w:r>
              <w:t>Conversion can create nulls where values are invalid.</w:t>
            </w:r>
          </w:p>
        </w:tc>
      </w:tr>
    </w:tbl>
    <w:p>
      <w:pPr>
        <w:pStyle w:val="Heading3"/>
      </w:pPr>
      <w:r>
        <w:t>1.3.5 — Set default properties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Defaults control aggregation, number/date format, colour and sort.</w:t>
            </w:r>
          </w:p>
        </w:tc>
      </w:tr>
      <w:tr>
        <w:tc>
          <w:tcPr>
            <w:tcW w:type="dxa" w:w="4320"/>
            <w:shd w:val="clear" w:color="auto" w:fill="E8F0FE"/>
          </w:tcPr>
          <w:p>
            <w:r>
              <w:rPr>
                <w:b/>
              </w:rPr>
              <w:t>Use when</w:t>
            </w:r>
          </w:p>
        </w:tc>
        <w:tc>
          <w:tcPr>
            <w:tcW w:type="dxa" w:w="4320"/>
          </w:tcPr>
          <w:p>
            <w:r>
              <w:t>Use when a field should behave consistently on new sheets.</w:t>
            </w:r>
          </w:p>
        </w:tc>
      </w:tr>
      <w:tr>
        <w:tc>
          <w:tcPr>
            <w:tcW w:type="dxa" w:w="4320"/>
            <w:shd w:val="clear" w:color="auto" w:fill="E8F0FE"/>
          </w:tcPr>
          <w:p>
            <w:r>
              <w:rPr>
                <w:b/>
              </w:rPr>
              <w:t>Exam clue</w:t>
            </w:r>
          </w:p>
        </w:tc>
        <w:tc>
          <w:tcPr>
            <w:tcW w:type="dxa" w:w="4320"/>
          </w:tcPr>
          <w:p>
            <w:r>
              <w:t>Default aggregation can still be changed in a view.</w:t>
            </w:r>
          </w:p>
        </w:tc>
      </w:tr>
      <w:tr>
        <w:tc>
          <w:tcPr>
            <w:tcW w:type="dxa" w:w="4320"/>
            <w:shd w:val="clear" w:color="auto" w:fill="E8F0FE"/>
          </w:tcPr>
          <w:p>
            <w:r>
              <w:rPr>
                <w:b/>
              </w:rPr>
              <w:t>Pitfall</w:t>
            </w:r>
          </w:p>
        </w:tc>
        <w:tc>
          <w:tcPr>
            <w:tcW w:type="dxa" w:w="4320"/>
          </w:tcPr>
          <w:p>
            <w:r>
              <w:t>Currency formatting does not convert currencies or units.</w:t>
            </w:r>
          </w:p>
        </w:tc>
      </w:tr>
    </w:tbl>
    <w:p>
      <w:pPr>
        <w:pStyle w:val="Heading2"/>
      </w:pPr>
      <w:r>
        <w:t>Cleanse data with Tableau Prep Builder</w:t>
      </w:r>
    </w:p>
    <w:p>
      <w:pPr>
        <w:pStyle w:val="Heading3"/>
      </w:pPr>
      <w:r>
        <w:t>1.4.1 — Connect a Prep input and use the Data Interpreter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Input steps bring in Excel, CSV, database and published sources; the Data Interpreter strips titles, notes and blank banding.</w:t>
            </w:r>
          </w:p>
        </w:tc>
      </w:tr>
      <w:tr>
        <w:tc>
          <w:tcPr>
            <w:tcW w:type="dxa" w:w="4320"/>
            <w:shd w:val="clear" w:color="auto" w:fill="E8F0FE"/>
          </w:tcPr>
          <w:p>
            <w:r>
              <w:rPr>
                <w:b/>
              </w:rPr>
              <w:t>Use when</w:t>
            </w:r>
          </w:p>
        </w:tc>
        <w:tc>
          <w:tcPr>
            <w:tcW w:type="dxa" w:w="4320"/>
          </w:tcPr>
          <w:p>
            <w:r>
              <w:t>Use when spreadsheets carry cosmetic headers or merged title rows above the real table.</w:t>
            </w:r>
          </w:p>
        </w:tc>
      </w:tr>
      <w:tr>
        <w:tc>
          <w:tcPr>
            <w:tcW w:type="dxa" w:w="4320"/>
            <w:shd w:val="clear" w:color="auto" w:fill="E8F0FE"/>
          </w:tcPr>
          <w:p>
            <w:r>
              <w:rPr>
                <w:b/>
              </w:rPr>
              <w:t>Exam clue</w:t>
            </w:r>
          </w:p>
        </w:tc>
        <w:tc>
          <w:tcPr>
            <w:tcW w:type="dxa" w:w="4320"/>
          </w:tcPr>
          <w:p>
            <w:r>
              <w:t>The input step is where sampling, field removal and input-level filters are set.</w:t>
            </w:r>
          </w:p>
        </w:tc>
      </w:tr>
      <w:tr>
        <w:tc>
          <w:tcPr>
            <w:tcW w:type="dxa" w:w="4320"/>
            <w:shd w:val="clear" w:color="auto" w:fill="E8F0FE"/>
          </w:tcPr>
          <w:p>
            <w:r>
              <w:rPr>
                <w:b/>
              </w:rPr>
              <w:t>Pitfall</w:t>
            </w:r>
          </w:p>
        </w:tc>
        <w:tc>
          <w:tcPr>
            <w:tcW w:type="dxa" w:w="4320"/>
          </w:tcPr>
          <w:p>
            <w:r>
              <w:t>Interpreting an already-clean sheet can drop legitimate header rows; always review the result.</w:t>
            </w:r>
          </w:p>
        </w:tc>
      </w:tr>
    </w:tbl>
    <w:p>
      <w:pPr>
        <w:pStyle w:val="Heading3"/>
      </w:pPr>
      <w:r>
        <w:t>1.4.2 — Add a Clean step and read the profile pane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The Clean step profiles each field, showing value distribution, nulls and outliers.</w:t>
            </w:r>
          </w:p>
        </w:tc>
      </w:tr>
      <w:tr>
        <w:tc>
          <w:tcPr>
            <w:tcW w:type="dxa" w:w="4320"/>
            <w:shd w:val="clear" w:color="auto" w:fill="E8F0FE"/>
          </w:tcPr>
          <w:p>
            <w:r>
              <w:rPr>
                <w:b/>
              </w:rPr>
              <w:t>Use when</w:t>
            </w:r>
          </w:p>
        </w:tc>
        <w:tc>
          <w:tcPr>
            <w:tcW w:type="dxa" w:w="4320"/>
          </w:tcPr>
          <w:p>
            <w:r>
              <w:t>Use it first to see what is actually wrong before deciding on fixes.</w:t>
            </w:r>
          </w:p>
        </w:tc>
      </w:tr>
      <w:tr>
        <w:tc>
          <w:tcPr>
            <w:tcW w:type="dxa" w:w="4320"/>
            <w:shd w:val="clear" w:color="auto" w:fill="E8F0FE"/>
          </w:tcPr>
          <w:p>
            <w:r>
              <w:rPr>
                <w:b/>
              </w:rPr>
              <w:t>Exam clue</w:t>
            </w:r>
          </w:p>
        </w:tc>
        <w:tc>
          <w:tcPr>
            <w:tcW w:type="dxa" w:w="4320"/>
          </w:tcPr>
          <w:p>
            <w:r>
              <w:t>Clicking a profile bar filters the data grid to those records.</w:t>
            </w:r>
          </w:p>
        </w:tc>
      </w:tr>
      <w:tr>
        <w:tc>
          <w:tcPr>
            <w:tcW w:type="dxa" w:w="4320"/>
            <w:shd w:val="clear" w:color="auto" w:fill="E8F0FE"/>
          </w:tcPr>
          <w:p>
            <w:r>
              <w:rPr>
                <w:b/>
              </w:rPr>
              <w:t>Pitfall</w:t>
            </w:r>
          </w:p>
        </w:tc>
        <w:tc>
          <w:tcPr>
            <w:tcW w:type="dxa" w:w="4320"/>
          </w:tcPr>
          <w:p>
            <w:r>
              <w:t>Judging quality from the data grid alone hides the distribution problems the profile reveals.</w:t>
            </w:r>
          </w:p>
        </w:tc>
      </w:tr>
    </w:tbl>
    <w:p>
      <w:pPr>
        <w:pStyle w:val="Heading3"/>
      </w:pPr>
      <w:r>
        <w:t>1.4.3 — Fix data types and repair non-numeric text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Currency, thousands separators and stray characters block numeric conversion.</w:t>
            </w:r>
          </w:p>
        </w:tc>
      </w:tr>
      <w:tr>
        <w:tc>
          <w:tcPr>
            <w:tcW w:type="dxa" w:w="4320"/>
            <w:shd w:val="clear" w:color="auto" w:fill="E8F0FE"/>
          </w:tcPr>
          <w:p>
            <w:r>
              <w:rPr>
                <w:b/>
              </w:rPr>
              <w:t>Use when</w:t>
            </w:r>
          </w:p>
        </w:tc>
        <w:tc>
          <w:tcPr>
            <w:tcW w:type="dxa" w:w="4320"/>
          </w:tcPr>
          <w:p>
            <w:r>
              <w:t>Use a calculated field such as a REPLACE to strip commas before changing the type.</w:t>
            </w:r>
          </w:p>
        </w:tc>
      </w:tr>
      <w:tr>
        <w:tc>
          <w:tcPr>
            <w:tcW w:type="dxa" w:w="4320"/>
            <w:shd w:val="clear" w:color="auto" w:fill="E8F0FE"/>
          </w:tcPr>
          <w:p>
            <w:r>
              <w:rPr>
                <w:b/>
              </w:rPr>
              <w:t>Exam clue</w:t>
            </w:r>
          </w:p>
        </w:tc>
        <w:tc>
          <w:tcPr>
            <w:tcW w:type="dxa" w:w="4320"/>
          </w:tcPr>
          <w:p>
            <w:r>
              <w:t>A field that refuses to become a number usually contains punctuation or spaces.</w:t>
            </w:r>
          </w:p>
        </w:tc>
      </w:tr>
      <w:tr>
        <w:tc>
          <w:tcPr>
            <w:tcW w:type="dxa" w:w="4320"/>
            <w:shd w:val="clear" w:color="auto" w:fill="E8F0FE"/>
          </w:tcPr>
          <w:p>
            <w:r>
              <w:rPr>
                <w:b/>
              </w:rPr>
              <w:t>Pitfall</w:t>
            </w:r>
          </w:p>
        </w:tc>
        <w:tc>
          <w:tcPr>
            <w:tcW w:type="dxa" w:w="4320"/>
          </w:tcPr>
          <w:p>
            <w:r>
              <w:t>Converting directly to a number silently produces nulls where parsing fails.</w:t>
            </w:r>
          </w:p>
        </w:tc>
      </w:tr>
    </w:tbl>
    <w:p>
      <w:pPr>
        <w:pStyle w:val="Heading3"/>
      </w:pPr>
      <w:r>
        <w:t>1.4.4 — Apply cleaning operations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Prep offers Remove Letters, Remove Numbers, Remove Punctuation, Trim Spaces, Remove Extra Spaces and case conversion.</w:t>
            </w:r>
          </w:p>
        </w:tc>
      </w:tr>
      <w:tr>
        <w:tc>
          <w:tcPr>
            <w:tcW w:type="dxa" w:w="4320"/>
            <w:shd w:val="clear" w:color="auto" w:fill="E8F0FE"/>
          </w:tcPr>
          <w:p>
            <w:r>
              <w:rPr>
                <w:b/>
              </w:rPr>
              <w:t>Use when</w:t>
            </w:r>
          </w:p>
        </w:tc>
        <w:tc>
          <w:tcPr>
            <w:tcW w:type="dxa" w:w="4320"/>
          </w:tcPr>
          <w:p>
            <w:r>
              <w:t>Use to normalise names, codes and free-text categories.</w:t>
            </w:r>
          </w:p>
        </w:tc>
      </w:tr>
      <w:tr>
        <w:tc>
          <w:tcPr>
            <w:tcW w:type="dxa" w:w="4320"/>
            <w:shd w:val="clear" w:color="auto" w:fill="E8F0FE"/>
          </w:tcPr>
          <w:p>
            <w:r>
              <w:rPr>
                <w:b/>
              </w:rPr>
              <w:t>Exam clue</w:t>
            </w:r>
          </w:p>
        </w:tc>
        <w:tc>
          <w:tcPr>
            <w:tcW w:type="dxa" w:w="4320"/>
          </w:tcPr>
          <w:p>
            <w:r>
              <w:t>Remove Extra Spaces collapses repeats; Remove All Spaces deletes every space.</w:t>
            </w:r>
          </w:p>
        </w:tc>
      </w:tr>
      <w:tr>
        <w:tc>
          <w:tcPr>
            <w:tcW w:type="dxa" w:w="4320"/>
            <w:shd w:val="clear" w:color="auto" w:fill="E8F0FE"/>
          </w:tcPr>
          <w:p>
            <w:r>
              <w:rPr>
                <w:b/>
              </w:rPr>
              <w:t>Pitfall</w:t>
            </w:r>
          </w:p>
        </w:tc>
        <w:tc>
          <w:tcPr>
            <w:tcW w:type="dxa" w:w="4320"/>
          </w:tcPr>
          <w:p>
            <w:r>
              <w:t>Removing all spaces destroys multi-word names that still need to be readable.</w:t>
            </w:r>
          </w:p>
        </w:tc>
      </w:tr>
    </w:tbl>
    <w:p>
      <w:pPr>
        <w:pStyle w:val="Heading3"/>
      </w:pPr>
      <w:r>
        <w:t>1.4.5 — Split fields automatically and manually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Automatic split infers a separator; custom split specifies the delimiter and number of columns.</w:t>
            </w:r>
          </w:p>
        </w:tc>
      </w:tr>
      <w:tr>
        <w:tc>
          <w:tcPr>
            <w:tcW w:type="dxa" w:w="4320"/>
            <w:shd w:val="clear" w:color="auto" w:fill="E8F0FE"/>
          </w:tcPr>
          <w:p>
            <w:r>
              <w:rPr>
                <w:b/>
              </w:rPr>
              <w:t>Use when</w:t>
            </w:r>
          </w:p>
        </w:tc>
        <w:tc>
          <w:tcPr>
            <w:tcW w:type="dxa" w:w="4320"/>
          </w:tcPr>
          <w:p>
            <w:r>
              <w:t>Use to separate names, codes, dates or concatenated attributes.</w:t>
            </w:r>
          </w:p>
        </w:tc>
      </w:tr>
      <w:tr>
        <w:tc>
          <w:tcPr>
            <w:tcW w:type="dxa" w:w="4320"/>
            <w:shd w:val="clear" w:color="auto" w:fill="E8F0FE"/>
          </w:tcPr>
          <w:p>
            <w:r>
              <w:rPr>
                <w:b/>
              </w:rPr>
              <w:t>Exam clue</w:t>
            </w:r>
          </w:p>
        </w:tc>
        <w:tc>
          <w:tcPr>
            <w:tcW w:type="dxa" w:w="4320"/>
          </w:tcPr>
          <w:p>
            <w:r>
              <w:t>Split creates new fields; the original is usually removed afterwards.</w:t>
            </w:r>
          </w:p>
        </w:tc>
      </w:tr>
      <w:tr>
        <w:tc>
          <w:tcPr>
            <w:tcW w:type="dxa" w:w="4320"/>
            <w:shd w:val="clear" w:color="auto" w:fill="E8F0FE"/>
          </w:tcPr>
          <w:p>
            <w:r>
              <w:rPr>
                <w:b/>
              </w:rPr>
              <w:t>Pitfall</w:t>
            </w:r>
          </w:p>
        </w:tc>
        <w:tc>
          <w:tcPr>
            <w:tcW w:type="dxa" w:w="4320"/>
          </w:tcPr>
          <w:p>
            <w:r>
              <w:t>An inferred split breaks when the separator is inconsistent across rows.</w:t>
            </w:r>
          </w:p>
        </w:tc>
      </w:tr>
    </w:tbl>
    <w:p>
      <w:pPr>
        <w:pStyle w:val="Heading3"/>
      </w:pPr>
      <w:r>
        <w:t>1.4.6 — Filter and handle nulls and duplicates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Filters can be by value, wildcard, range, calculation or null status; duplicates are found by profiling the row key.</w:t>
            </w:r>
          </w:p>
        </w:tc>
      </w:tr>
      <w:tr>
        <w:tc>
          <w:tcPr>
            <w:tcW w:type="dxa" w:w="4320"/>
            <w:shd w:val="clear" w:color="auto" w:fill="E8F0FE"/>
          </w:tcPr>
          <w:p>
            <w:r>
              <w:rPr>
                <w:b/>
              </w:rPr>
              <w:t>Use when</w:t>
            </w:r>
          </w:p>
        </w:tc>
        <w:tc>
          <w:tcPr>
            <w:tcW w:type="dxa" w:w="4320"/>
          </w:tcPr>
          <w:p>
            <w:r>
              <w:t>Use to exclude test rows, negative sales, out-of-scope regions and empty keys.</w:t>
            </w:r>
          </w:p>
        </w:tc>
      </w:tr>
      <w:tr>
        <w:tc>
          <w:tcPr>
            <w:tcW w:type="dxa" w:w="4320"/>
            <w:shd w:val="clear" w:color="auto" w:fill="E8F0FE"/>
          </w:tcPr>
          <w:p>
            <w:r>
              <w:rPr>
                <w:b/>
              </w:rPr>
              <w:t>Exam clue</w:t>
            </w:r>
          </w:p>
        </w:tc>
        <w:tc>
          <w:tcPr>
            <w:tcW w:type="dxa" w:w="4320"/>
          </w:tcPr>
          <w:p>
            <w:r>
              <w:t>Keep Only and Exclude are the fastest filters directly from the profile.</w:t>
            </w:r>
          </w:p>
        </w:tc>
      </w:tr>
      <w:tr>
        <w:tc>
          <w:tcPr>
            <w:tcW w:type="dxa" w:w="4320"/>
            <w:shd w:val="clear" w:color="auto" w:fill="E8F0FE"/>
          </w:tcPr>
          <w:p>
            <w:r>
              <w:rPr>
                <w:b/>
              </w:rPr>
              <w:t>Pitfall</w:t>
            </w:r>
          </w:p>
        </w:tc>
        <w:tc>
          <w:tcPr>
            <w:tcW w:type="dxa" w:w="4320"/>
          </w:tcPr>
          <w:p>
            <w:r>
              <w:t>Filtering away nulls can silently drop valid records that merely lack one attribute.</w:t>
            </w:r>
          </w:p>
        </w:tc>
      </w:tr>
    </w:tbl>
    <w:p>
      <w:pPr>
        <w:pStyle w:val="Heading3"/>
      </w:pPr>
      <w:r>
        <w:t>1.4.7 — Group and Replace to standardise members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Group and Replace merges variants using manual selection, pronunciation, common characters or spelling similarity.</w:t>
            </w:r>
          </w:p>
        </w:tc>
      </w:tr>
      <w:tr>
        <w:tc>
          <w:tcPr>
            <w:tcW w:type="dxa" w:w="4320"/>
            <w:shd w:val="clear" w:color="auto" w:fill="E8F0FE"/>
          </w:tcPr>
          <w:p>
            <w:r>
              <w:rPr>
                <w:b/>
              </w:rPr>
              <w:t>Use when</w:t>
            </w:r>
          </w:p>
        </w:tc>
        <w:tc>
          <w:tcPr>
            <w:tcW w:type="dxa" w:w="4320"/>
          </w:tcPr>
          <w:p>
            <w:r>
              <w:t>Use for misspelt city, product or customer names that should be one member.</w:t>
            </w:r>
          </w:p>
        </w:tc>
      </w:tr>
      <w:tr>
        <w:tc>
          <w:tcPr>
            <w:tcW w:type="dxa" w:w="4320"/>
            <w:shd w:val="clear" w:color="auto" w:fill="E8F0FE"/>
          </w:tcPr>
          <w:p>
            <w:r>
              <w:rPr>
                <w:b/>
              </w:rPr>
              <w:t>Exam clue</w:t>
            </w:r>
          </w:p>
        </w:tc>
        <w:tc>
          <w:tcPr>
            <w:tcW w:type="dxa" w:w="4320"/>
          </w:tcPr>
          <w:p>
            <w:r>
              <w:t>Fuzzy matching proposes groups; the analyst confirms them.</w:t>
            </w:r>
          </w:p>
        </w:tc>
      </w:tr>
      <w:tr>
        <w:tc>
          <w:tcPr>
            <w:tcW w:type="dxa" w:w="4320"/>
            <w:shd w:val="clear" w:color="auto" w:fill="E8F0FE"/>
          </w:tcPr>
          <w:p>
            <w:r>
              <w:rPr>
                <w:b/>
              </w:rPr>
              <w:t>Pitfall</w:t>
            </w:r>
          </w:p>
        </w:tc>
        <w:tc>
          <w:tcPr>
            <w:tcW w:type="dxa" w:w="4320"/>
          </w:tcPr>
          <w:p>
            <w:r>
              <w:t>Aggressive fuzzy matching can merge genuinely different members.</w:t>
            </w:r>
          </w:p>
        </w:tc>
      </w:tr>
    </w:tbl>
    <w:p>
      <w:pPr>
        <w:pStyle w:val="Heading3"/>
      </w:pPr>
      <w:r>
        <w:t>1.4.8 — Pivot columns to rows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Pivot step converts wide month or category columns into a tidy field-and-value pair.</w:t>
            </w:r>
          </w:p>
        </w:tc>
      </w:tr>
      <w:tr>
        <w:tc>
          <w:tcPr>
            <w:tcW w:type="dxa" w:w="4320"/>
            <w:shd w:val="clear" w:color="auto" w:fill="E8F0FE"/>
          </w:tcPr>
          <w:p>
            <w:r>
              <w:rPr>
                <w:b/>
              </w:rPr>
              <w:t>Use when</w:t>
            </w:r>
          </w:p>
        </w:tc>
        <w:tc>
          <w:tcPr>
            <w:tcW w:type="dxa" w:w="4320"/>
          </w:tcPr>
          <w:p>
            <w:r>
              <w:t>Use when each period sits in its own column instead of its own row.</w:t>
            </w:r>
          </w:p>
        </w:tc>
      </w:tr>
      <w:tr>
        <w:tc>
          <w:tcPr>
            <w:tcW w:type="dxa" w:w="4320"/>
            <w:shd w:val="clear" w:color="auto" w:fill="E8F0FE"/>
          </w:tcPr>
          <w:p>
            <w:r>
              <w:rPr>
                <w:b/>
              </w:rPr>
              <w:t>Exam clue</w:t>
            </w:r>
          </w:p>
        </w:tc>
        <w:tc>
          <w:tcPr>
            <w:tcW w:type="dxa" w:w="4320"/>
          </w:tcPr>
          <w:p>
            <w:r>
              <w:t>Pivoted output creates one row per original column value.</w:t>
            </w:r>
          </w:p>
        </w:tc>
      </w:tr>
      <w:tr>
        <w:tc>
          <w:tcPr>
            <w:tcW w:type="dxa" w:w="4320"/>
            <w:shd w:val="clear" w:color="auto" w:fill="E8F0FE"/>
          </w:tcPr>
          <w:p>
            <w:r>
              <w:rPr>
                <w:b/>
              </w:rPr>
              <w:t>Pitfall</w:t>
            </w:r>
          </w:p>
        </w:tc>
        <w:tc>
          <w:tcPr>
            <w:tcW w:type="dxa" w:w="4320"/>
          </w:tcPr>
          <w:p>
            <w:r>
              <w:t>Leaving data wide forces one calculation per column and breaks date logic.</w:t>
            </w:r>
          </w:p>
        </w:tc>
      </w:tr>
    </w:tbl>
    <w:p>
      <w:pPr>
        <w:pStyle w:val="Heading3"/>
      </w:pPr>
      <w:r>
        <w:t>1.4.9 — Union, join and aggregate in a flow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Union appends compatible files; Join matches on keys; Aggregate rolls rows to a coarser grain.</w:t>
            </w:r>
          </w:p>
        </w:tc>
      </w:tr>
      <w:tr>
        <w:tc>
          <w:tcPr>
            <w:tcW w:type="dxa" w:w="4320"/>
            <w:shd w:val="clear" w:color="auto" w:fill="E8F0FE"/>
          </w:tcPr>
          <w:p>
            <w:r>
              <w:rPr>
                <w:b/>
              </w:rPr>
              <w:t>Use when</w:t>
            </w:r>
          </w:p>
        </w:tc>
        <w:tc>
          <w:tcPr>
            <w:tcW w:type="dxa" w:w="4320"/>
          </w:tcPr>
          <w:p>
            <w:r>
              <w:t>Use to combine monthly or country files and attach lookup attributes.</w:t>
            </w:r>
          </w:p>
        </w:tc>
      </w:tr>
      <w:tr>
        <w:tc>
          <w:tcPr>
            <w:tcW w:type="dxa" w:w="4320"/>
            <w:shd w:val="clear" w:color="auto" w:fill="E8F0FE"/>
          </w:tcPr>
          <w:p>
            <w:r>
              <w:rPr>
                <w:b/>
              </w:rPr>
              <w:t>Exam clue</w:t>
            </w:r>
          </w:p>
        </w:tc>
        <w:tc>
          <w:tcPr>
            <w:tcW w:type="dxa" w:w="4320"/>
          </w:tcPr>
          <w:p>
            <w:r>
              <w:t>Mismatched field names appear in the union as separate columns until merged.</w:t>
            </w:r>
          </w:p>
        </w:tc>
      </w:tr>
      <w:tr>
        <w:tc>
          <w:tcPr>
            <w:tcW w:type="dxa" w:w="4320"/>
            <w:shd w:val="clear" w:color="auto" w:fill="E8F0FE"/>
          </w:tcPr>
          <w:p>
            <w:r>
              <w:rPr>
                <w:b/>
              </w:rPr>
              <w:t>Pitfall</w:t>
            </w:r>
          </w:p>
        </w:tc>
        <w:tc>
          <w:tcPr>
            <w:tcW w:type="dxa" w:w="4320"/>
          </w:tcPr>
          <w:p>
            <w:r>
              <w:t>A join in Prep multiplies rows the same way a join in Desktop does.</w:t>
            </w:r>
          </w:p>
        </w:tc>
      </w:tr>
    </w:tbl>
    <w:p>
      <w:pPr>
        <w:pStyle w:val="Heading3"/>
      </w:pPr>
      <w:r>
        <w:t>1.4.10 — Create calculated fields and output the flow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Prep calculations derive new columns; Output writes a CSV, Excel, .hyper extract or published data source.</w:t>
            </w:r>
          </w:p>
        </w:tc>
      </w:tr>
      <w:tr>
        <w:tc>
          <w:tcPr>
            <w:tcW w:type="dxa" w:w="4320"/>
            <w:shd w:val="clear" w:color="auto" w:fill="E8F0FE"/>
          </w:tcPr>
          <w:p>
            <w:r>
              <w:rPr>
                <w:b/>
              </w:rPr>
              <w:t>Use when</w:t>
            </w:r>
          </w:p>
        </w:tc>
        <w:tc>
          <w:tcPr>
            <w:tcW w:type="dxa" w:w="4320"/>
          </w:tcPr>
          <w:p>
            <w:r>
              <w:t>Use to compute derived measures and publish a governed, refreshable clean table.</w:t>
            </w:r>
          </w:p>
        </w:tc>
      </w:tr>
      <w:tr>
        <w:tc>
          <w:tcPr>
            <w:tcW w:type="dxa" w:w="4320"/>
            <w:shd w:val="clear" w:color="auto" w:fill="E8F0FE"/>
          </w:tcPr>
          <w:p>
            <w:r>
              <w:rPr>
                <w:b/>
              </w:rPr>
              <w:t>Exam clue</w:t>
            </w:r>
          </w:p>
        </w:tc>
        <w:tc>
          <w:tcPr>
            <w:tcW w:type="dxa" w:w="4320"/>
          </w:tcPr>
          <w:p>
            <w:r>
              <w:t>Running the flow re-executes every step in order against current input.</w:t>
            </w:r>
          </w:p>
        </w:tc>
      </w:tr>
      <w:tr>
        <w:tc>
          <w:tcPr>
            <w:tcW w:type="dxa" w:w="4320"/>
            <w:shd w:val="clear" w:color="auto" w:fill="E8F0FE"/>
          </w:tcPr>
          <w:p>
            <w:r>
              <w:rPr>
                <w:b/>
              </w:rPr>
              <w:t>Pitfall</w:t>
            </w:r>
          </w:p>
        </w:tc>
        <w:tc>
          <w:tcPr>
            <w:tcW w:type="dxa" w:w="4320"/>
          </w:tcPr>
          <w:p>
            <w:r>
              <w:t>Outputting without re-running the flow ships stale results.</w:t>
            </w:r>
          </w:p>
        </w:tc>
      </w:tr>
    </w:tbl>
    <w:p>
      <w:r>
        <w:br w:type="page"/>
      </w:r>
    </w:p>
    <w:p>
      <w:pPr>
        <w:pStyle w:val="Heading2"/>
      </w:pPr>
      <w:r>
        <w:t>Lab 01 — Audit a Retail Sales Connection and Extract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Northstar Retail needs a trustworthy weekly sales source before analysts build regional reporting.</w:t>
            </w:r>
          </w:p>
        </w:tc>
      </w:tr>
      <w:tr>
        <w:tc>
          <w:tcPr>
            <w:tcW w:type="dxa" w:w="4320"/>
            <w:shd w:val="clear" w:color="auto" w:fill="E8F0FE"/>
          </w:tcPr>
          <w:p>
            <w:r>
              <w:rPr>
                <w:b/>
              </w:rPr>
              <w:t>Goal</w:t>
            </w:r>
          </w:p>
        </w:tc>
        <w:tc>
          <w:tcPr>
            <w:tcW w:type="dxa" w:w="4320"/>
          </w:tcPr>
          <w:p>
            <w:r>
              <w:t>Connect to Excel, validate field metadata, compare live and extract behaviour</w:t>
            </w:r>
          </w:p>
        </w:tc>
      </w:tr>
      <w:tr>
        <w:tc>
          <w:tcPr>
            <w:tcW w:type="dxa" w:w="4320"/>
            <w:shd w:val="clear" w:color="auto" w:fill="E8F0FE"/>
          </w:tcPr>
          <w:p>
            <w:r>
              <w:rPr>
                <w:b/>
              </w:rPr>
              <w:t>You will produce</w:t>
            </w:r>
          </w:p>
        </w:tc>
        <w:tc>
          <w:tcPr>
            <w:tcW w:type="dxa" w:w="4320"/>
          </w:tcPr>
          <w:p>
            <w:r>
              <w:t>A validated Tableau data source, field-role audit, live/extract decision and refreshed .hyper extract</w:t>
            </w:r>
          </w:p>
        </w:tc>
      </w:tr>
      <w:tr>
        <w:tc>
          <w:tcPr>
            <w:tcW w:type="dxa" w:w="4320"/>
            <w:shd w:val="clear" w:color="auto" w:fill="E8F0FE"/>
          </w:tcPr>
          <w:p>
            <w:r>
              <w:rPr>
                <w:b/>
              </w:rPr>
              <w:t>Tools</w:t>
            </w:r>
          </w:p>
        </w:tc>
        <w:tc>
          <w:tcPr>
            <w:tcW w:type="dxa" w:w="4320"/>
          </w:tcPr>
          <w:p>
            <w:r>
              <w:t>Tableau Desktop · Excel · live connection · extract · metadata</w:t>
            </w:r>
          </w:p>
        </w:tc>
      </w:tr>
      <w:tr>
        <w:tc>
          <w:tcPr>
            <w:tcW w:type="dxa" w:w="4320"/>
            <w:shd w:val="clear" w:color="auto" w:fill="E8F0FE"/>
          </w:tcPr>
          <w:p>
            <w:r>
              <w:rPr>
                <w:b/>
              </w:rPr>
              <w:t>Folder</w:t>
            </w:r>
          </w:p>
        </w:tc>
        <w:tc>
          <w:tcPr>
            <w:tcW w:type="dxa" w:w="4320"/>
          </w:tcPr>
          <w:p>
            <w:r>
              <w:t>labs/lab-01-audit-a-retail-sales-connection-and-extract</w:t>
            </w:r>
          </w:p>
        </w:tc>
      </w:tr>
      <w:tr>
        <w:tc>
          <w:tcPr>
            <w:tcW w:type="dxa" w:w="4320"/>
            <w:shd w:val="clear" w:color="auto" w:fill="E8F0FE"/>
          </w:tcPr>
          <w:p>
            <w:r>
              <w:rPr>
                <w:b/>
              </w:rPr>
              <w:t>Excel workbook</w:t>
            </w:r>
          </w:p>
        </w:tc>
        <w:tc>
          <w:tcPr>
            <w:tcW w:type="dxa" w:w="4320"/>
          </w:tcPr>
          <w:p>
            <w:r>
              <w:t>Lab-01-Northstar-Retail-Orders.xlsx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Open Tableau Desktop and choose Microsoft Excel.</w:t>
      </w:r>
    </w:p>
    <w:p>
      <w:pPr>
        <w:spacing w:after="120"/>
        <w:ind w:left="432"/>
      </w:pPr>
      <w:r>
        <w:t>Select Lab-01-Northstar-Retail-Orders.xlsx from this lab folder.</w:t>
      </w:r>
    </w:p>
    <w:p>
      <w:pPr>
        <w:pStyle w:val="ListNumber"/>
      </w:pPr>
      <w:r>
        <w:rPr>
          <w:b/>
        </w:rPr>
        <w:t>Inspect the Read Me and Data Dictionary worksheets first.</w:t>
      </w:r>
    </w:p>
    <w:p>
      <w:pPr>
        <w:spacing w:after="120"/>
        <w:ind w:left="432"/>
      </w:pPr>
      <w:r>
        <w:t>Confirm the scenario, expected grain and required fields before using Orders.</w:t>
      </w:r>
    </w:p>
    <w:p>
      <w:pPr>
        <w:pStyle w:val="ListNumber"/>
      </w:pPr>
      <w:r>
        <w:rPr>
          <w:b/>
        </w:rPr>
        <w:t>Drag Orders to the data canvas and review the preview.</w:t>
      </w:r>
    </w:p>
    <w:p>
      <w:pPr>
        <w:spacing w:after="120"/>
        <w:ind w:left="432"/>
      </w:pPr>
      <w:r>
        <w:t>One row must represent one order line; compare the preview row count with the Control sheet.</w:t>
      </w:r>
    </w:p>
    <w:p>
      <w:pPr>
        <w:pStyle w:val="ListNumber"/>
      </w:pPr>
      <w:r>
        <w:rPr>
          <w:b/>
        </w:rPr>
        <w:t>Correct field types.</w:t>
      </w:r>
    </w:p>
    <w:p>
      <w:pPr>
        <w:spacing w:after="120"/>
        <w:ind w:left="432"/>
      </w:pPr>
      <w:r>
        <w:t>Order Date and Ship Date are dates; Customer ID and Order ID are strings; Sales, Cost and Discount are decimals.</w:t>
      </w:r>
    </w:p>
    <w:p>
      <w:pPr>
        <w:pStyle w:val="ListNumber"/>
      </w:pPr>
      <w:r>
        <w:rPr>
          <w:b/>
        </w:rPr>
        <w:t>Rename technical fields and add comments.</w:t>
      </w:r>
    </w:p>
    <w:p>
      <w:pPr>
        <w:spacing w:after="120"/>
        <w:ind w:left="432"/>
      </w:pPr>
      <w:r>
        <w:t>Use business-friendly captions while preserving source meaning.</w:t>
      </w:r>
    </w:p>
    <w:p>
      <w:pPr>
        <w:pStyle w:val="ListNumber"/>
      </w:pPr>
      <w:r>
        <w:rPr>
          <w:b/>
        </w:rPr>
        <w:t>Assign geographic roles.</w:t>
      </w:r>
    </w:p>
    <w:p>
      <w:pPr>
        <w:spacing w:after="120"/>
        <w:ind w:left="432"/>
      </w:pPr>
      <w:r>
        <w:t>Set Country/Region, State/Province and City roles; resolve ambiguous locations with country context.</w:t>
      </w:r>
    </w:p>
    <w:p>
      <w:pPr>
        <w:pStyle w:val="ListNumber"/>
      </w:pPr>
      <w:r>
        <w:rPr>
          <w:b/>
        </w:rPr>
        <w:t>Set default properties.</w:t>
      </w:r>
    </w:p>
    <w:p>
      <w:pPr>
        <w:spacing w:after="120"/>
        <w:ind w:left="432"/>
      </w:pPr>
      <w:r>
        <w:t>Format Sales, Cost and Profit as SGD; Discount as a percentage; default Profit aggregation as SUM.</w:t>
      </w:r>
    </w:p>
    <w:p>
      <w:pPr>
        <w:pStyle w:val="ListNumber"/>
      </w:pPr>
      <w:r>
        <w:rPr>
          <w:b/>
        </w:rPr>
        <w:t>Create a worksheet named Connection Check.</w:t>
      </w:r>
    </w:p>
    <w:p>
      <w:pPr>
        <w:spacing w:after="120"/>
        <w:ind w:left="432"/>
      </w:pPr>
      <w:r>
        <w:t>Show record count, distinct orders, minimum date, maximum date and total sales.</w:t>
      </w:r>
    </w:p>
    <w:p>
      <w:pPr>
        <w:pStyle w:val="ListNumber"/>
      </w:pPr>
      <w:r>
        <w:rPr>
          <w:b/>
        </w:rPr>
        <w:t>Record the live/extract decision.</w:t>
      </w:r>
    </w:p>
    <w:p>
      <w:pPr>
        <w:spacing w:after="120"/>
        <w:ind w:left="432"/>
      </w:pPr>
      <w:r>
        <w:t>Use the decision table in the workbook and explain freshness, performance, portability and refresh implications.</w:t>
      </w:r>
    </w:p>
    <w:p>
      <w:pPr>
        <w:pStyle w:val="ListNumber"/>
      </w:pPr>
      <w:r>
        <w:rPr>
          <w:b/>
        </w:rPr>
        <w:t>Create a Tableau extract.</w:t>
      </w:r>
    </w:p>
    <w:p>
      <w:pPr>
        <w:spacing w:after="120"/>
        <w:ind w:left="432"/>
      </w:pPr>
      <w:r>
        <w:t>Hide unused audit fields first, then extract all required rows.</w:t>
      </w:r>
    </w:p>
    <w:p>
      <w:pPr>
        <w:pStyle w:val="ListNumber"/>
      </w:pPr>
      <w:r>
        <w:rPr>
          <w:b/>
        </w:rPr>
        <w:t>Run a full refresh and inspect extract properties.</w:t>
      </w:r>
    </w:p>
    <w:p>
      <w:pPr>
        <w:spacing w:after="120"/>
        <w:ind w:left="432"/>
      </w:pPr>
      <w:r>
        <w:t>Confirm the data-as-of timestamp and row count remain correct.</w:t>
      </w:r>
    </w:p>
    <w:p>
      <w:pPr>
        <w:pStyle w:val="ListNumber"/>
      </w:pPr>
      <w:r>
        <w:rPr>
          <w:b/>
        </w:rPr>
        <w:t>Save the workbook as Lab-01-Connection-Audit.twbx.</w:t>
      </w:r>
    </w:p>
    <w:p>
      <w:pPr>
        <w:spacing w:after="120"/>
        <w:ind w:left="432"/>
      </w:pPr>
      <w:r>
        <w:t>Capture the Connection Check worksheet as evidence.</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source has the expected row count and date range, geographic fields are recognised, currency/percentage defaults are correct, and the extract refreshes without errors.</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02 — Model Orders, Returns, Products and Targets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GreenBasket Grocers wants sales, returns and monthly targets analysed without duplicating measures across different table grains.</w:t>
            </w:r>
          </w:p>
        </w:tc>
      </w:tr>
      <w:tr>
        <w:tc>
          <w:tcPr>
            <w:tcW w:type="dxa" w:w="4320"/>
            <w:shd w:val="clear" w:color="auto" w:fill="E8F0FE"/>
          </w:tcPr>
          <w:p>
            <w:r>
              <w:rPr>
                <w:b/>
              </w:rPr>
              <w:t>Goal</w:t>
            </w:r>
          </w:p>
        </w:tc>
        <w:tc>
          <w:tcPr>
            <w:tcW w:type="dxa" w:w="4320"/>
          </w:tcPr>
          <w:p>
            <w:r>
              <w:t>Create relationships and compare them with physical joins</w:t>
            </w:r>
          </w:p>
        </w:tc>
      </w:tr>
      <w:tr>
        <w:tc>
          <w:tcPr>
            <w:tcW w:type="dxa" w:w="4320"/>
            <w:shd w:val="clear" w:color="auto" w:fill="E8F0FE"/>
          </w:tcPr>
          <w:p>
            <w:r>
              <w:rPr>
                <w:b/>
              </w:rPr>
              <w:t>You will produce</w:t>
            </w:r>
          </w:p>
        </w:tc>
        <w:tc>
          <w:tcPr>
            <w:tcW w:type="dxa" w:w="4320"/>
          </w:tcPr>
          <w:p>
            <w:r>
              <w:t>A four-table logical model with validated cardinality, unmatched-key checks and a join-risk comparison</w:t>
            </w:r>
          </w:p>
        </w:tc>
      </w:tr>
      <w:tr>
        <w:tc>
          <w:tcPr>
            <w:tcW w:type="dxa" w:w="4320"/>
            <w:shd w:val="clear" w:color="auto" w:fill="E8F0FE"/>
          </w:tcPr>
          <w:p>
            <w:r>
              <w:rPr>
                <w:b/>
              </w:rPr>
              <w:t>Tools</w:t>
            </w:r>
          </w:p>
        </w:tc>
        <w:tc>
          <w:tcPr>
            <w:tcW w:type="dxa" w:w="4320"/>
          </w:tcPr>
          <w:p>
            <w:r>
              <w:t>Tableau Desktop · relationships · joins · referential integrity · grain validation</w:t>
            </w:r>
          </w:p>
        </w:tc>
      </w:tr>
      <w:tr>
        <w:tc>
          <w:tcPr>
            <w:tcW w:type="dxa" w:w="4320"/>
            <w:shd w:val="clear" w:color="auto" w:fill="E8F0FE"/>
          </w:tcPr>
          <w:p>
            <w:r>
              <w:rPr>
                <w:b/>
              </w:rPr>
              <w:t>Folder</w:t>
            </w:r>
          </w:p>
        </w:tc>
        <w:tc>
          <w:tcPr>
            <w:tcW w:type="dxa" w:w="4320"/>
          </w:tcPr>
          <w:p>
            <w:r>
              <w:t>labs/lab-02-model-orders-returns-products-and-targets</w:t>
            </w:r>
          </w:p>
        </w:tc>
      </w:tr>
      <w:tr>
        <w:tc>
          <w:tcPr>
            <w:tcW w:type="dxa" w:w="4320"/>
            <w:shd w:val="clear" w:color="auto" w:fill="E8F0FE"/>
          </w:tcPr>
          <w:p>
            <w:r>
              <w:rPr>
                <w:b/>
              </w:rPr>
              <w:t>Excel workbook</w:t>
            </w:r>
          </w:p>
        </w:tc>
        <w:tc>
          <w:tcPr>
            <w:tcW w:type="dxa" w:w="4320"/>
          </w:tcPr>
          <w:p>
            <w:r>
              <w:t>Lab-02-GreenBasket-Data-Model.xlsx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Connect to Lab-02-GreenBasket-Data-Model.xlsx.</w:t>
      </w:r>
    </w:p>
    <w:p>
      <w:pPr>
        <w:spacing w:after="120"/>
        <w:ind w:left="432"/>
      </w:pPr>
      <w:r>
        <w:t>Read the Data Dictionary and Grain Audit sheets before modelling.</w:t>
      </w:r>
    </w:p>
    <w:p>
      <w:pPr>
        <w:pStyle w:val="ListNumber"/>
      </w:pPr>
      <w:r>
        <w:rPr>
          <w:b/>
        </w:rPr>
        <w:t>Place Orders as the root logical table.</w:t>
      </w:r>
    </w:p>
    <w:p>
      <w:pPr>
        <w:spacing w:after="120"/>
        <w:ind w:left="432"/>
      </w:pPr>
      <w:r>
        <w:t>Confirm one row represents one order line.</w:t>
      </w:r>
    </w:p>
    <w:p>
      <w:pPr>
        <w:pStyle w:val="ListNumber"/>
      </w:pPr>
      <w:r>
        <w:rPr>
          <w:b/>
        </w:rPr>
        <w:t>Relate Returns to Orders on Order ID and Line ID.</w:t>
      </w:r>
    </w:p>
    <w:p>
      <w:pPr>
        <w:spacing w:after="120"/>
        <w:ind w:left="432"/>
      </w:pPr>
      <w:r>
        <w:t>Use many-to-one or many-to-many only after checking the supplied uniqueness tests.</w:t>
      </w:r>
    </w:p>
    <w:p>
      <w:pPr>
        <w:pStyle w:val="ListNumber"/>
      </w:pPr>
      <w:r>
        <w:rPr>
          <w:b/>
        </w:rPr>
        <w:t>Relate Products to Orders on Product ID.</w:t>
      </w:r>
    </w:p>
    <w:p>
      <w:pPr>
        <w:spacing w:after="120"/>
        <w:ind w:left="432"/>
      </w:pPr>
      <w:r>
        <w:t>Products should be one row per Product ID.</w:t>
      </w:r>
    </w:p>
    <w:p>
      <w:pPr>
        <w:pStyle w:val="ListNumber"/>
      </w:pPr>
      <w:r>
        <w:rPr>
          <w:b/>
        </w:rPr>
        <w:t>Relate Targets using Month Start and Region.</w:t>
      </w:r>
    </w:p>
    <w:p>
      <w:pPr>
        <w:spacing w:after="120"/>
        <w:ind w:left="432"/>
      </w:pPr>
      <w:r>
        <w:t>Targets are monthly-region grain, not order-line grain.</w:t>
      </w:r>
    </w:p>
    <w:p>
      <w:pPr>
        <w:pStyle w:val="ListNumber"/>
      </w:pPr>
      <w:r>
        <w:rPr>
          <w:b/>
        </w:rPr>
        <w:t>Review performance options.</w:t>
      </w:r>
    </w:p>
    <w:p>
      <w:pPr>
        <w:spacing w:after="120"/>
        <w:ind w:left="432"/>
      </w:pPr>
      <w:r>
        <w:t>State cardinality and referential integrity only when supported by evidence.</w:t>
      </w:r>
    </w:p>
    <w:p>
      <w:pPr>
        <w:pStyle w:val="ListNumber"/>
      </w:pPr>
      <w:r>
        <w:rPr>
          <w:b/>
        </w:rPr>
        <w:t>Build a Model Validation worksheet.</w:t>
      </w:r>
    </w:p>
    <w:p>
      <w:pPr>
        <w:spacing w:after="120"/>
        <w:ind w:left="432"/>
      </w:pPr>
      <w:r>
        <w:t>Show Sales, Return Count and Target by Region without flattening the model.</w:t>
      </w:r>
    </w:p>
    <w:p>
      <w:pPr>
        <w:pStyle w:val="ListNumber"/>
      </w:pPr>
      <w:r>
        <w:rPr>
          <w:b/>
        </w:rPr>
        <w:t>Check unmatched keys.</w:t>
      </w:r>
    </w:p>
    <w:p>
      <w:pPr>
        <w:spacing w:after="120"/>
        <w:ind w:left="432"/>
      </w:pPr>
      <w:r>
        <w:t>Use the Unmatched Keys sheet to identify intentional and erroneous exceptions.</w:t>
      </w:r>
    </w:p>
    <w:p>
      <w:pPr>
        <w:pStyle w:val="ListNumber"/>
      </w:pPr>
      <w:r>
        <w:rPr>
          <w:b/>
        </w:rPr>
        <w:t>Create a duplicate copy of the data source for a join experiment.</w:t>
      </w:r>
    </w:p>
    <w:p>
      <w:pPr>
        <w:spacing w:after="120"/>
        <w:ind w:left="432"/>
      </w:pPr>
      <w:r>
        <w:t>Join Orders to Returns in the physical layer and note the resulting row count.</w:t>
      </w:r>
    </w:p>
    <w:p>
      <w:pPr>
        <w:pStyle w:val="ListNumber"/>
      </w:pPr>
      <w:r>
        <w:rPr>
          <w:b/>
        </w:rPr>
        <w:t>Compare relationship and join totals.</w:t>
      </w:r>
    </w:p>
    <w:p>
      <w:pPr>
        <w:spacing w:after="120"/>
        <w:ind w:left="432"/>
      </w:pPr>
      <w:r>
        <w:t>Explain why table grain and join type can change Sales and Return totals.</w:t>
      </w:r>
    </w:p>
    <w:p>
      <w:pPr>
        <w:pStyle w:val="ListNumber"/>
      </w:pPr>
      <w:r>
        <w:rPr>
          <w:b/>
        </w:rPr>
        <w:t>Document the chosen model.</w:t>
      </w:r>
    </w:p>
    <w:p>
      <w:pPr>
        <w:spacing w:after="120"/>
        <w:ind w:left="432"/>
      </w:pPr>
      <w:r>
        <w:t>Add a caption that states each table grain and relationship key.</w:t>
      </w:r>
    </w:p>
    <w:p>
      <w:pPr>
        <w:pStyle w:val="ListNumber"/>
      </w:pPr>
      <w:r>
        <w:rPr>
          <w:b/>
        </w:rPr>
        <w:t>Save as Lab-02-Relationship-Model.twbx.</w:t>
      </w:r>
    </w:p>
    <w:p>
      <w:pPr>
        <w:spacing w:after="120"/>
        <w:ind w:left="432"/>
      </w:pPr>
      <w:r>
        <w:t>Export the model canvas and validation worksheet screenshots.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Sales matches the control total, Return Count matches the Returns table, targets do not duplicate, and the learner can explain why relationships are safer for the mixed-grain model.</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03 — Union Monthly Files and Join Store Attributes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MetroMart receives separate monthly transaction tabs plus a store master and needs one analysis-ready source.</w:t>
            </w:r>
          </w:p>
        </w:tc>
      </w:tr>
      <w:tr>
        <w:tc>
          <w:tcPr>
            <w:tcW w:type="dxa" w:w="4320"/>
            <w:shd w:val="clear" w:color="auto" w:fill="E8F0FE"/>
          </w:tcPr>
          <w:p>
            <w:r>
              <w:rPr>
                <w:b/>
              </w:rPr>
              <w:t>Goal</w:t>
            </w:r>
          </w:p>
        </w:tc>
        <w:tc>
          <w:tcPr>
            <w:tcW w:type="dxa" w:w="4320"/>
          </w:tcPr>
          <w:p>
            <w:r>
              <w:t>Append compatible tables, merge mismatched fields and join a lookup</w:t>
            </w:r>
          </w:p>
        </w:tc>
      </w:tr>
      <w:tr>
        <w:tc>
          <w:tcPr>
            <w:tcW w:type="dxa" w:w="4320"/>
            <w:shd w:val="clear" w:color="auto" w:fill="E8F0FE"/>
          </w:tcPr>
          <w:p>
            <w:r>
              <w:rPr>
                <w:b/>
              </w:rPr>
              <w:t>You will produce</w:t>
            </w:r>
          </w:p>
        </w:tc>
        <w:tc>
          <w:tcPr>
            <w:tcW w:type="dxa" w:w="4320"/>
          </w:tcPr>
          <w:p>
            <w:r>
              <w:t>A three-month union with provenance fields, merged columns, a validated store join and saved data-source metadata</w:t>
            </w:r>
          </w:p>
        </w:tc>
      </w:tr>
      <w:tr>
        <w:tc>
          <w:tcPr>
            <w:tcW w:type="dxa" w:w="4320"/>
            <w:shd w:val="clear" w:color="auto" w:fill="E8F0FE"/>
          </w:tcPr>
          <w:p>
            <w:r>
              <w:rPr>
                <w:b/>
              </w:rPr>
              <w:t>Tools</w:t>
            </w:r>
          </w:p>
        </w:tc>
        <w:tc>
          <w:tcPr>
            <w:tcW w:type="dxa" w:w="4320"/>
          </w:tcPr>
          <w:p>
            <w:r>
              <w:t>Tableau Desktop · unions · wildcard patterns · joins · aliases · .tds/.tdsx</w:t>
            </w:r>
          </w:p>
        </w:tc>
      </w:tr>
      <w:tr>
        <w:tc>
          <w:tcPr>
            <w:tcW w:type="dxa" w:w="4320"/>
            <w:shd w:val="clear" w:color="auto" w:fill="E8F0FE"/>
          </w:tcPr>
          <w:p>
            <w:r>
              <w:rPr>
                <w:b/>
              </w:rPr>
              <w:t>Folder</w:t>
            </w:r>
          </w:p>
        </w:tc>
        <w:tc>
          <w:tcPr>
            <w:tcW w:type="dxa" w:w="4320"/>
          </w:tcPr>
          <w:p>
            <w:r>
              <w:t>labs/lab-03-union-monthly-files-and-join-store-attributes</w:t>
            </w:r>
          </w:p>
        </w:tc>
      </w:tr>
      <w:tr>
        <w:tc>
          <w:tcPr>
            <w:tcW w:type="dxa" w:w="4320"/>
            <w:shd w:val="clear" w:color="auto" w:fill="E8F0FE"/>
          </w:tcPr>
          <w:p>
            <w:r>
              <w:rPr>
                <w:b/>
              </w:rPr>
              <w:t>Excel workbook</w:t>
            </w:r>
          </w:p>
        </w:tc>
        <w:tc>
          <w:tcPr>
            <w:tcW w:type="dxa" w:w="4320"/>
          </w:tcPr>
          <w:p>
            <w:r>
              <w:t>Lab-03-MetroMart-Union-and-Join.xlsx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Lab-03-MetroMart-Union-and-Join.xlsx.</w:t>
      </w:r>
    </w:p>
    <w:p>
      <w:pPr>
        <w:spacing w:after="120"/>
        <w:ind w:left="432"/>
      </w:pPr>
      <w:r>
        <w:t>Review the January, February and March sheet structures.</w:t>
      </w:r>
    </w:p>
    <w:p>
      <w:pPr>
        <w:pStyle w:val="ListNumber"/>
      </w:pPr>
      <w:r>
        <w:rPr>
          <w:b/>
        </w:rPr>
        <w:t>Create a manual union of the three monthly sheets.</w:t>
      </w:r>
    </w:p>
    <w:p>
      <w:pPr>
        <w:spacing w:after="120"/>
        <w:ind w:left="432"/>
      </w:pPr>
      <w:r>
        <w:t>Confirm Tableau adds Table Name and Sheet provenance fields.</w:t>
      </w:r>
    </w:p>
    <w:p>
      <w:pPr>
        <w:pStyle w:val="ListNumber"/>
      </w:pPr>
      <w:r>
        <w:rPr>
          <w:b/>
        </w:rPr>
        <w:t>Inspect null-heavy columns caused by a deliberate field-name mismatch.</w:t>
      </w:r>
    </w:p>
    <w:p>
      <w:pPr>
        <w:spacing w:after="120"/>
        <w:ind w:left="432"/>
      </w:pPr>
      <w:r>
        <w:t>February uses Sales Amount while other months use Net Sales.</w:t>
      </w:r>
    </w:p>
    <w:p>
      <w:pPr>
        <w:pStyle w:val="ListNumber"/>
      </w:pPr>
      <w:r>
        <w:rPr>
          <w:b/>
        </w:rPr>
        <w:t>Merge mismatched fields.</w:t>
      </w:r>
    </w:p>
    <w:p>
      <w:pPr>
        <w:spacing w:after="120"/>
        <w:ind w:left="432"/>
      </w:pPr>
      <w:r>
        <w:t>Create one Net Sales field and verify February values are no longer null.</w:t>
      </w:r>
    </w:p>
    <w:p>
      <w:pPr>
        <w:pStyle w:val="ListNumber"/>
      </w:pPr>
      <w:r>
        <w:rPr>
          <w:b/>
        </w:rPr>
        <w:t>Add the Stores sheet in the physical layer.</w:t>
      </w:r>
    </w:p>
    <w:p>
      <w:pPr>
        <w:spacing w:after="120"/>
        <w:ind w:left="432"/>
      </w:pPr>
      <w:r>
        <w:t>Left join on Store ID so all transactions remain.</w:t>
      </w:r>
    </w:p>
    <w:p>
      <w:pPr>
        <w:pStyle w:val="ListNumber"/>
      </w:pPr>
      <w:r>
        <w:rPr>
          <w:b/>
        </w:rPr>
        <w:t>Validate the join.</w:t>
      </w:r>
    </w:p>
    <w:p>
      <w:pPr>
        <w:spacing w:after="120"/>
        <w:ind w:left="432"/>
      </w:pPr>
      <w:r>
        <w:t>Compare pre/post row counts and count unmatched Store IDs.</w:t>
      </w:r>
    </w:p>
    <w:p>
      <w:pPr>
        <w:pStyle w:val="ListNumber"/>
      </w:pPr>
      <w:r>
        <w:rPr>
          <w:b/>
        </w:rPr>
        <w:t>Rename provenance fields.</w:t>
      </w:r>
    </w:p>
    <w:p>
      <w:pPr>
        <w:spacing w:after="120"/>
        <w:ind w:left="432"/>
      </w:pPr>
      <w:r>
        <w:t>Use Source Month and Source Sheet labels.</w:t>
      </w:r>
    </w:p>
    <w:p>
      <w:pPr>
        <w:pStyle w:val="ListNumber"/>
      </w:pPr>
      <w:r>
        <w:rPr>
          <w:b/>
        </w:rPr>
        <w:t>Create aliases for store formats.</w:t>
      </w:r>
    </w:p>
    <w:p>
      <w:pPr>
        <w:spacing w:after="120"/>
        <w:ind w:left="432"/>
      </w:pPr>
      <w:r>
        <w:t>Display EXPRESS as Express and SUPERCENTER as Supercentre.</w:t>
      </w:r>
    </w:p>
    <w:p>
      <w:pPr>
        <w:pStyle w:val="ListNumber"/>
      </w:pPr>
      <w:r>
        <w:rPr>
          <w:b/>
        </w:rPr>
        <w:t>Set default number and date formats.</w:t>
      </w:r>
    </w:p>
    <w:p>
      <w:pPr>
        <w:spacing w:after="120"/>
        <w:ind w:left="432"/>
      </w:pPr>
      <w:r>
        <w:t>Net Sales and Gross Profit are SGD; Transaction Date uses dd mmm yyyy.</w:t>
      </w:r>
    </w:p>
    <w:p>
      <w:pPr>
        <w:pStyle w:val="ListNumber"/>
      </w:pPr>
      <w:r>
        <w:rPr>
          <w:b/>
        </w:rPr>
        <w:t>Build Monthly Union QA.</w:t>
      </w:r>
    </w:p>
    <w:p>
      <w:pPr>
        <w:spacing w:after="120"/>
        <w:ind w:left="432"/>
      </w:pPr>
      <w:r>
        <w:t>Show monthly records, sales and unmatched-store counts.</w:t>
      </w:r>
    </w:p>
    <w:p>
      <w:pPr>
        <w:pStyle w:val="ListNumber"/>
      </w:pPr>
      <w:r>
        <w:rPr>
          <w:b/>
        </w:rPr>
        <w:t>Save the reusable data source.</w:t>
      </w:r>
    </w:p>
    <w:p>
      <w:pPr>
        <w:spacing w:after="120"/>
        <w:ind w:left="432"/>
      </w:pPr>
      <w:r>
        <w:t>Create a .tds or .tdsx and state what is packaged.</w:t>
      </w:r>
    </w:p>
    <w:p>
      <w:pPr>
        <w:pStyle w:val="ListNumber"/>
      </w:pPr>
      <w:r>
        <w:rPr>
          <w:b/>
        </w:rPr>
        <w:t>Save as Lab-03-Union-Join.twbx.</w:t>
      </w:r>
    </w:p>
    <w:p>
      <w:pPr>
        <w:spacing w:after="120"/>
        <w:ind w:left="432"/>
      </w:pPr>
      <w:r>
        <w:t>Capture the data-source canvas and QA view.</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All three months appear, merged sales has no avoidable nulls, record counts match Control, the left join preserves transactions, and the saved source opens with metadata intact.</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11 — Cleanse a Messy Sales Extract with Tableau Prep Builder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Harbourfront Trading exports raw transactions with currency text, inconsistent city spellings, split name fields, duplicate rows and wide monthly budget columns. Analysts need one governed, refreshable clean table before any Tableau Desktop analysis.</w:t>
            </w:r>
          </w:p>
        </w:tc>
      </w:tr>
      <w:tr>
        <w:tc>
          <w:tcPr>
            <w:tcW w:type="dxa" w:w="4320"/>
            <w:shd w:val="clear" w:color="auto" w:fill="E8F0FE"/>
          </w:tcPr>
          <w:p>
            <w:r>
              <w:rPr>
                <w:b/>
              </w:rPr>
              <w:t>Goal</w:t>
            </w:r>
          </w:p>
        </w:tc>
        <w:tc>
          <w:tcPr>
            <w:tcW w:type="dxa" w:w="4320"/>
          </w:tcPr>
          <w:p>
            <w:r>
              <w:t>Build a repeatable Tableau Prep flow that profiles, cleans, reshapes and outputs an analysis-ready table</w:t>
            </w:r>
          </w:p>
        </w:tc>
      </w:tr>
      <w:tr>
        <w:tc>
          <w:tcPr>
            <w:tcW w:type="dxa" w:w="4320"/>
            <w:shd w:val="clear" w:color="auto" w:fill="E8F0FE"/>
          </w:tcPr>
          <w:p>
            <w:r>
              <w:rPr>
                <w:b/>
              </w:rPr>
              <w:t>You will produce</w:t>
            </w:r>
          </w:p>
        </w:tc>
        <w:tc>
          <w:tcPr>
            <w:tcW w:type="dxa" w:w="4320"/>
          </w:tcPr>
          <w:p>
            <w:r>
              <w:t>A saved Tableau Prep flow (.tfl) with Input, Clean, Split, Group and Replace, Pivot, Union, Join and Output steps, plus a cleaned .hyper or CSV output and a documented change list</w:t>
            </w:r>
          </w:p>
        </w:tc>
      </w:tr>
      <w:tr>
        <w:tc>
          <w:tcPr>
            <w:tcW w:type="dxa" w:w="4320"/>
            <w:shd w:val="clear" w:color="auto" w:fill="E8F0FE"/>
          </w:tcPr>
          <w:p>
            <w:r>
              <w:rPr>
                <w:b/>
              </w:rPr>
              <w:t>Tools</w:t>
            </w:r>
          </w:p>
        </w:tc>
        <w:tc>
          <w:tcPr>
            <w:tcW w:type="dxa" w:w="4320"/>
          </w:tcPr>
          <w:p>
            <w:r>
              <w:t>Tableau Prep Builder · profile pane · clean step · split · group and replace · pivot · union · join · output</w:t>
            </w:r>
          </w:p>
        </w:tc>
      </w:tr>
      <w:tr>
        <w:tc>
          <w:tcPr>
            <w:tcW w:type="dxa" w:w="4320"/>
            <w:shd w:val="clear" w:color="auto" w:fill="E8F0FE"/>
          </w:tcPr>
          <w:p>
            <w:r>
              <w:rPr>
                <w:b/>
              </w:rPr>
              <w:t>Folder</w:t>
            </w:r>
          </w:p>
        </w:tc>
        <w:tc>
          <w:tcPr>
            <w:tcW w:type="dxa" w:w="4320"/>
          </w:tcPr>
          <w:p>
            <w:r>
              <w:t>labs/lab-11-cleanse-a-messy-sales-extract-with-tableau-prep-builder</w:t>
            </w:r>
          </w:p>
        </w:tc>
      </w:tr>
      <w:tr>
        <w:tc>
          <w:tcPr>
            <w:tcW w:type="dxa" w:w="4320"/>
            <w:shd w:val="clear" w:color="auto" w:fill="E8F0FE"/>
          </w:tcPr>
          <w:p>
            <w:r>
              <w:rPr>
                <w:b/>
              </w:rPr>
              <w:t>Excel workbook</w:t>
            </w:r>
          </w:p>
        </w:tc>
        <w:tc>
          <w:tcPr>
            <w:tcW w:type="dxa" w:w="4320"/>
          </w:tcPr>
          <w:p>
            <w:r>
              <w:t>Lab-11-Harbourfront-Prep-Cleansing.xlsx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Open Tableau Prep Builder and connect to Lab-11-Harbourfront-Prep-Cleansing.xlsx.</w:t>
      </w:r>
    </w:p>
    <w:p>
      <w:pPr>
        <w:spacing w:after="120"/>
        <w:ind w:left="432"/>
      </w:pPr>
      <w:r>
        <w:t>Start with the Q1 Transactions sheet; Q2 and Q3 are brought in and unioned at step 10. Read the Read Me, Data Dictionary and Control sheets first. If cosmetic title rows appear above the header, switch on Use Data Interpreter and confirm the corrected header row.</w:t>
      </w:r>
    </w:p>
    <w:p>
      <w:pPr>
        <w:pStyle w:val="ListNumber"/>
      </w:pPr>
      <w:r>
        <w:rPr>
          <w:b/>
        </w:rPr>
        <w:t>Add a Clean step and study the profile pane before changing anything.</w:t>
      </w:r>
    </w:p>
    <w:p>
      <w:pPr>
        <w:spacing w:after="120"/>
        <w:ind w:left="432"/>
      </w:pPr>
      <w:r>
        <w:t>Record which fields show dirty types, nulls, outliers or too many distinct members. The profile, not the data grid, reveals distribution problems.</w:t>
      </w:r>
    </w:p>
    <w:p>
      <w:pPr>
        <w:pStyle w:val="ListNumber"/>
      </w:pPr>
      <w:r>
        <w:rPr>
          <w:b/>
        </w:rPr>
        <w:t>Repair the Price Paid field so it can become a number.</w:t>
      </w:r>
    </w:p>
    <w:p>
      <w:pPr>
        <w:spacing w:after="120"/>
        <w:ind w:left="432"/>
      </w:pPr>
      <w:r>
        <w:t>Values contain currency symbols and thousands separators. Create a calculated field such as REPLACE(REPLACE([Price Paid],',',''),'$','') and only then change the type to Decimal Number; converting directly produces nulls.</w:t>
      </w:r>
    </w:p>
    <w:p>
      <w:pPr>
        <w:pStyle w:val="ListNumber"/>
      </w:pPr>
      <w:r>
        <w:rPr>
          <w:b/>
        </w:rPr>
        <w:t>Apply cleaning operations to the free-text fields.</w:t>
      </w:r>
    </w:p>
    <w:p>
      <w:pPr>
        <w:spacing w:after="120"/>
        <w:ind w:left="432"/>
      </w:pPr>
      <w:r>
        <w:t>Use Trim Spaces and Remove Extra Spaces on Customer Name; note the difference from Remove All Spaces, which would destroy multi-word names. Use Remove Punctuation where codes carry stray characters.</w:t>
      </w:r>
    </w:p>
    <w:p>
      <w:pPr>
        <w:pStyle w:val="ListNumber"/>
      </w:pPr>
      <w:r>
        <w:rPr>
          <w:b/>
        </w:rPr>
        <w:t>Split the Customer Name field.</w:t>
      </w:r>
    </w:p>
    <w:p>
      <w:pPr>
        <w:spacing w:after="120"/>
        <w:ind w:left="432"/>
      </w:pPr>
      <w:r>
        <w:t>Use Automatic Split first, inspect the result, then use a custom split on the space delimiter if the inferred separator is inconsistent. Rename the outputs First Name and Last Name and remove the original field.</w:t>
      </w:r>
    </w:p>
    <w:p>
      <w:pPr>
        <w:pStyle w:val="ListNumber"/>
      </w:pPr>
      <w:r>
        <w:rPr>
          <w:b/>
        </w:rPr>
        <w:t>Identify and remove duplicate rows.</w:t>
      </w:r>
    </w:p>
    <w:p>
      <w:pPr>
        <w:spacing w:after="120"/>
        <w:ind w:left="432"/>
      </w:pPr>
      <w:r>
        <w:t>Profile Transaction ID and confirm the distinct count against the Control sheet; exclude the duplicated records and re-check the count.</w:t>
      </w:r>
    </w:p>
    <w:p>
      <w:pPr>
        <w:pStyle w:val="ListNumber"/>
      </w:pPr>
      <w:r>
        <w:rPr>
          <w:b/>
        </w:rPr>
        <w:t>Filter out invalid records.</w:t>
      </w:r>
    </w:p>
    <w:p>
      <w:pPr>
        <w:spacing w:after="120"/>
        <w:ind w:left="432"/>
      </w:pPr>
      <w:r>
        <w:t>Exclude rows with null Transaction ID and negative Sales using a calculation or range filter; state in a note how many rows each filter removed and why they are not legitimate data.</w:t>
      </w:r>
    </w:p>
    <w:p>
      <w:pPr>
        <w:pStyle w:val="ListNumber"/>
      </w:pPr>
      <w:r>
        <w:rPr>
          <w:b/>
        </w:rPr>
        <w:t>Standardise city members using Group and Replace.</w:t>
      </w:r>
    </w:p>
    <w:p>
      <w:pPr>
        <w:spacing w:after="120"/>
        <w:ind w:left="432"/>
      </w:pPr>
      <w:r>
        <w:t>Apply pronunciation and spelling-similarity matching to merge misspelt city variants, then review every proposed group manually — fuzzy matching can merge genuinely different members.</w:t>
      </w:r>
    </w:p>
    <w:p>
      <w:pPr>
        <w:pStyle w:val="ListNumber"/>
      </w:pPr>
      <w:r>
        <w:rPr>
          <w:b/>
        </w:rPr>
        <w:t>Pivot the wide monthly budget columns to rows.</w:t>
      </w:r>
    </w:p>
    <w:p>
      <w:pPr>
        <w:spacing w:after="120"/>
        <w:ind w:left="432"/>
      </w:pPr>
      <w:r>
        <w:t>Add a Pivot step on the Monthly Budget sheet, convert the twelve month columns into Month and Budget Amount fields, and set Month to a date type.</w:t>
      </w:r>
    </w:p>
    <w:p>
      <w:pPr>
        <w:pStyle w:val="ListNumber"/>
      </w:pPr>
      <w:r>
        <w:rPr>
          <w:b/>
        </w:rPr>
        <w:t>Union the quarterly transaction sheets and merge mismatched fields.</w:t>
      </w:r>
    </w:p>
    <w:p>
      <w:pPr>
        <w:spacing w:after="120"/>
        <w:ind w:left="432"/>
      </w:pPr>
      <w:r>
        <w:t>Q2 uses Sales Amount while the others use Net Sales; merge them into one field and confirm no avoidable nulls remain. Keep the Table Name provenance field.</w:t>
      </w:r>
    </w:p>
    <w:p>
      <w:pPr>
        <w:pStyle w:val="ListNumber"/>
      </w:pPr>
      <w:r>
        <w:rPr>
          <w:b/>
        </w:rPr>
        <w:t>Join the Region lookup and add calculated fields.</w:t>
      </w:r>
    </w:p>
    <w:p>
      <w:pPr>
        <w:spacing w:after="120"/>
        <w:ind w:left="432"/>
      </w:pPr>
      <w:r>
        <w:t>Inner join on Region Code, remove the duplicated key column, then add a Profit calculated field and verify it against the Control sheet.</w:t>
      </w:r>
    </w:p>
    <w:p>
      <w:pPr>
        <w:pStyle w:val="ListNumber"/>
      </w:pPr>
      <w:r>
        <w:rPr>
          <w:b/>
        </w:rPr>
        <w:t>Reorder a step in the change list to see the effect, then restore it.</w:t>
      </w:r>
    </w:p>
    <w:p>
      <w:pPr>
        <w:spacing w:after="120"/>
        <w:ind w:left="432"/>
      </w:pPr>
      <w:r>
        <w:t>This proves the flow is an auditable, reorderable pipeline rather than a set of one-off clicks.</w:t>
      </w:r>
    </w:p>
    <w:p>
      <w:pPr>
        <w:pStyle w:val="ListNumber"/>
      </w:pPr>
      <w:r>
        <w:rPr>
          <w:b/>
        </w:rPr>
        <w:t>Add an Output step and run the flow.</w:t>
      </w:r>
    </w:p>
    <w:p>
      <w:pPr>
        <w:spacing w:after="120"/>
        <w:ind w:left="432"/>
      </w:pPr>
      <w:r>
        <w:t>Write a .hyper extract or CSV named Lab-11-Clean-Output into this lab folder, then save the flow as Lab-11-Harbourfront-Cleansing.tfl.</w:t>
      </w:r>
    </w:p>
    <w:p>
      <w:pPr>
        <w:pStyle w:val="ListNumber"/>
      </w:pPr>
      <w:r>
        <w:rPr>
          <w:b/>
        </w:rPr>
        <w:t>Connect Tableau Desktop to the cleaned output.</w:t>
      </w:r>
    </w:p>
    <w:p>
      <w:pPr>
        <w:spacing w:after="120"/>
        <w:ind w:left="432"/>
      </w:pPr>
      <w:r>
        <w:t>Build one validation worksheet showing record count, distinct customers, total sales and total profit, and reconcile against the Control sheet.</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flow runs end to end without errors; Price Paid is numeric, duplicates and invalid rows are removed, city members are standardised, budgets are pivoted long, the union has no avoidable nulls, the join does not multiply rows, and the output reconciles to the Control sheet.</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Topic 02 — Exploring and Analyzing Data in Tableau Desktop (37%)</w:t>
      </w:r>
    </w:p>
    <w:p>
      <w:r>
        <w:t>Charts · groups · sets · hierarchies · filters · analytics · calculations</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Question before chart</w:t>
            </w:r>
          </w:p>
        </w:tc>
        <w:tc>
          <w:tcPr>
            <w:tcW w:type="dxa" w:w="4320"/>
          </w:tcPr>
          <w:p>
            <w:r>
              <w:t>Bars compare, lines show time, scatterplots show relationships and maps show location.</w:t>
            </w:r>
          </w:p>
        </w:tc>
      </w:tr>
      <w:tr>
        <w:tc>
          <w:tcPr>
            <w:tcW w:type="dxa" w:w="4320"/>
          </w:tcPr>
          <w:p>
            <w:r>
              <w:rPr>
                <w:b/>
              </w:rPr>
              <w:t>Structure narrows meaning</w:t>
            </w:r>
          </w:p>
        </w:tc>
        <w:tc>
          <w:tcPr>
            <w:tcW w:type="dxa" w:w="4320"/>
          </w:tcPr>
          <w:p>
            <w:r>
              <w:t>Groups, sets, hierarchies, sorts and filters determine the population compared.</w:t>
            </w:r>
          </w:p>
        </w:tc>
      </w:tr>
      <w:tr>
        <w:tc>
          <w:tcPr>
            <w:tcW w:type="dxa" w:w="4320"/>
          </w:tcPr>
          <w:p>
            <w:r>
              <w:rPr>
                <w:b/>
              </w:rPr>
              <w:t>Analytics adds context</w:t>
            </w:r>
          </w:p>
        </w:tc>
        <w:tc>
          <w:tcPr>
            <w:tcW w:type="dxa" w:w="4320"/>
          </w:tcPr>
          <w:p>
            <w:r>
              <w:t>Lines, totals, bins, calculations and parameters turn marks into evidence.</w:t>
            </w:r>
          </w:p>
        </w:tc>
      </w:tr>
      <w:tr>
        <w:tc>
          <w:tcPr>
            <w:tcW w:type="dxa" w:w="4320"/>
          </w:tcPr>
          <w:p>
            <w:r>
              <w:rPr>
                <w:b/>
              </w:rPr>
              <w:t>Order matters</w:t>
            </w:r>
          </w:p>
        </w:tc>
        <w:tc>
          <w:tcPr>
            <w:tcW w:type="dxa" w:w="4320"/>
          </w:tcPr>
          <w:p>
            <w:r>
              <w:t>Context, dimension, measure and table-calculation filters execute at different stages.</w:t>
            </w:r>
          </w:p>
        </w:tc>
      </w:tr>
    </w:tbl>
    <w:p>
      <w:pPr>
        <w:pStyle w:val="Heading2"/>
      </w:pPr>
      <w:r>
        <w:t>Create basic charts</w:t>
      </w:r>
    </w:p>
    <w:p>
      <w:pPr>
        <w:pStyle w:val="Heading3"/>
      </w:pPr>
      <w:r>
        <w:t>2.1.1 — Create a bar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Bars encode magnitude by length along a common baseline.</w:t>
            </w:r>
          </w:p>
        </w:tc>
      </w:tr>
      <w:tr>
        <w:tc>
          <w:tcPr>
            <w:tcW w:type="dxa" w:w="4320"/>
            <w:shd w:val="clear" w:color="auto" w:fill="E8F0FE"/>
          </w:tcPr>
          <w:p>
            <w:r>
              <w:rPr>
                <w:b/>
              </w:rPr>
              <w:t>Use when</w:t>
            </w:r>
          </w:p>
        </w:tc>
        <w:tc>
          <w:tcPr>
            <w:tcW w:type="dxa" w:w="4320"/>
          </w:tcPr>
          <w:p>
            <w:r>
              <w:t>Use for ranking and comparing categories.</w:t>
            </w:r>
          </w:p>
        </w:tc>
      </w:tr>
      <w:tr>
        <w:tc>
          <w:tcPr>
            <w:tcW w:type="dxa" w:w="4320"/>
            <w:shd w:val="clear" w:color="auto" w:fill="E8F0FE"/>
          </w:tcPr>
          <w:p>
            <w:r>
              <w:rPr>
                <w:b/>
              </w:rPr>
              <w:t>Exam clue</w:t>
            </w:r>
          </w:p>
        </w:tc>
        <w:tc>
          <w:tcPr>
            <w:tcW w:type="dxa" w:w="4320"/>
          </w:tcPr>
          <w:p>
            <w:r>
              <w:t>One dimension plus one measure is the canonical pattern.</w:t>
            </w:r>
          </w:p>
        </w:tc>
      </w:tr>
      <w:tr>
        <w:tc>
          <w:tcPr>
            <w:tcW w:type="dxa" w:w="4320"/>
            <w:shd w:val="clear" w:color="auto" w:fill="E8F0FE"/>
          </w:tcPr>
          <w:p>
            <w:r>
              <w:rPr>
                <w:b/>
              </w:rPr>
              <w:t>Pitfall</w:t>
            </w:r>
          </w:p>
        </w:tc>
        <w:tc>
          <w:tcPr>
            <w:tcW w:type="dxa" w:w="4320"/>
          </w:tcPr>
          <w:p>
            <w:r>
              <w:t>Avoid 3-D effects, too many categories and unsorted ranking views.</w:t>
            </w:r>
          </w:p>
        </w:tc>
      </w:tr>
    </w:tbl>
    <w:p>
      <w:pPr>
        <w:pStyle w:val="Heading3"/>
      </w:pPr>
      <w:r>
        <w:t>2.1.2 — Create a line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Lines connect ordered points to emphasise change over time.</w:t>
            </w:r>
          </w:p>
        </w:tc>
      </w:tr>
      <w:tr>
        <w:tc>
          <w:tcPr>
            <w:tcW w:type="dxa" w:w="4320"/>
            <w:shd w:val="clear" w:color="auto" w:fill="E8F0FE"/>
          </w:tcPr>
          <w:p>
            <w:r>
              <w:rPr>
                <w:b/>
              </w:rPr>
              <w:t>Use when</w:t>
            </w:r>
          </w:p>
        </w:tc>
        <w:tc>
          <w:tcPr>
            <w:tcW w:type="dxa" w:w="4320"/>
          </w:tcPr>
          <w:p>
            <w:r>
              <w:t>Use for trends, seasonality and rate of change.</w:t>
            </w:r>
          </w:p>
        </w:tc>
      </w:tr>
      <w:tr>
        <w:tc>
          <w:tcPr>
            <w:tcW w:type="dxa" w:w="4320"/>
            <w:shd w:val="clear" w:color="auto" w:fill="E8F0FE"/>
          </w:tcPr>
          <w:p>
            <w:r>
              <w:rPr>
                <w:b/>
              </w:rPr>
              <w:t>Exam clue</w:t>
            </w:r>
          </w:p>
        </w:tc>
        <w:tc>
          <w:tcPr>
            <w:tcW w:type="dxa" w:w="4320"/>
          </w:tcPr>
          <w:p>
            <w:r>
              <w:t>Continuous dates form axes; discrete date parts form headers.</w:t>
            </w:r>
          </w:p>
        </w:tc>
      </w:tr>
      <w:tr>
        <w:tc>
          <w:tcPr>
            <w:tcW w:type="dxa" w:w="4320"/>
            <w:shd w:val="clear" w:color="auto" w:fill="E8F0FE"/>
          </w:tcPr>
          <w:p>
            <w:r>
              <w:rPr>
                <w:b/>
              </w:rPr>
              <w:t>Pitfall</w:t>
            </w:r>
          </w:p>
        </w:tc>
        <w:tc>
          <w:tcPr>
            <w:tcW w:type="dxa" w:w="4320"/>
          </w:tcPr>
          <w:p>
            <w:r>
              <w:t>Do not connect unrelated categories as a sequence.</w:t>
            </w:r>
          </w:p>
        </w:tc>
      </w:tr>
    </w:tbl>
    <w:p>
      <w:pPr>
        <w:pStyle w:val="Heading3"/>
      </w:pPr>
      <w:r>
        <w:t>2.1.3 — Create a scatterplot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Two quantitative axes show the relationship between measures.</w:t>
            </w:r>
          </w:p>
        </w:tc>
      </w:tr>
      <w:tr>
        <w:tc>
          <w:tcPr>
            <w:tcW w:type="dxa" w:w="4320"/>
            <w:shd w:val="clear" w:color="auto" w:fill="E8F0FE"/>
          </w:tcPr>
          <w:p>
            <w:r>
              <w:rPr>
                <w:b/>
              </w:rPr>
              <w:t>Use when</w:t>
            </w:r>
          </w:p>
        </w:tc>
        <w:tc>
          <w:tcPr>
            <w:tcW w:type="dxa" w:w="4320"/>
          </w:tcPr>
          <w:p>
            <w:r>
              <w:t>Use to assess correlation, clusters and outliers.</w:t>
            </w:r>
          </w:p>
        </w:tc>
      </w:tr>
      <w:tr>
        <w:tc>
          <w:tcPr>
            <w:tcW w:type="dxa" w:w="4320"/>
            <w:shd w:val="clear" w:color="auto" w:fill="E8F0FE"/>
          </w:tcPr>
          <w:p>
            <w:r>
              <w:rPr>
                <w:b/>
              </w:rPr>
              <w:t>Exam clue</w:t>
            </w:r>
          </w:p>
        </w:tc>
        <w:tc>
          <w:tcPr>
            <w:tcW w:type="dxa" w:w="4320"/>
          </w:tcPr>
          <w:p>
            <w:r>
              <w:t>Add a dimension to Detail for one mark per entity.</w:t>
            </w:r>
          </w:p>
        </w:tc>
      </w:tr>
      <w:tr>
        <w:tc>
          <w:tcPr>
            <w:tcW w:type="dxa" w:w="4320"/>
            <w:shd w:val="clear" w:color="auto" w:fill="E8F0FE"/>
          </w:tcPr>
          <w:p>
            <w:r>
              <w:rPr>
                <w:b/>
              </w:rPr>
              <w:t>Pitfall</w:t>
            </w:r>
          </w:p>
        </w:tc>
        <w:tc>
          <w:tcPr>
            <w:tcW w:type="dxa" w:w="4320"/>
          </w:tcPr>
          <w:p>
            <w:r>
              <w:t>Aggregation may collapse records into one mark.</w:t>
            </w:r>
          </w:p>
        </w:tc>
      </w:tr>
    </w:tbl>
    <w:p>
      <w:pPr>
        <w:pStyle w:val="Heading3"/>
      </w:pPr>
      <w:r>
        <w:t>2.1.4 — Create a map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Geographic fields generate spatial marks using Tableau geocoding.</w:t>
            </w:r>
          </w:p>
        </w:tc>
      </w:tr>
      <w:tr>
        <w:tc>
          <w:tcPr>
            <w:tcW w:type="dxa" w:w="4320"/>
            <w:shd w:val="clear" w:color="auto" w:fill="E8F0FE"/>
          </w:tcPr>
          <w:p>
            <w:r>
              <w:rPr>
                <w:b/>
              </w:rPr>
              <w:t>Use when</w:t>
            </w:r>
          </w:p>
        </w:tc>
        <w:tc>
          <w:tcPr>
            <w:tcW w:type="dxa" w:w="4320"/>
          </w:tcPr>
          <w:p>
            <w:r>
              <w:t>Use when location contributes to the question.</w:t>
            </w:r>
          </w:p>
        </w:tc>
      </w:tr>
      <w:tr>
        <w:tc>
          <w:tcPr>
            <w:tcW w:type="dxa" w:w="4320"/>
            <w:shd w:val="clear" w:color="auto" w:fill="E8F0FE"/>
          </w:tcPr>
          <w:p>
            <w:r>
              <w:rPr>
                <w:b/>
              </w:rPr>
              <w:t>Exam clue</w:t>
            </w:r>
          </w:p>
        </w:tc>
        <w:tc>
          <w:tcPr>
            <w:tcW w:type="dxa" w:w="4320"/>
          </w:tcPr>
          <w:p>
            <w:r>
              <w:t>Symbols compare points; fills compare areas; density shows concentration.</w:t>
            </w:r>
          </w:p>
        </w:tc>
      </w:tr>
      <w:tr>
        <w:tc>
          <w:tcPr>
            <w:tcW w:type="dxa" w:w="4320"/>
            <w:shd w:val="clear" w:color="auto" w:fill="E8F0FE"/>
          </w:tcPr>
          <w:p>
            <w:r>
              <w:rPr>
                <w:b/>
              </w:rPr>
              <w:t>Pitfall</w:t>
            </w:r>
          </w:p>
        </w:tc>
        <w:tc>
          <w:tcPr>
            <w:tcW w:type="dxa" w:w="4320"/>
          </w:tcPr>
          <w:p>
            <w:r>
              <w:t>A bar chart is more accurate when geography adds no meaning.</w:t>
            </w:r>
          </w:p>
        </w:tc>
      </w:tr>
    </w:tbl>
    <w:p>
      <w:pPr>
        <w:pStyle w:val="Heading3"/>
      </w:pPr>
      <w:r>
        <w:t>2.1.5 — Create a combined-axis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Multiple measures share one axis and Marks card.</w:t>
            </w:r>
          </w:p>
        </w:tc>
      </w:tr>
      <w:tr>
        <w:tc>
          <w:tcPr>
            <w:tcW w:type="dxa" w:w="4320"/>
            <w:shd w:val="clear" w:color="auto" w:fill="E8F0FE"/>
          </w:tcPr>
          <w:p>
            <w:r>
              <w:rPr>
                <w:b/>
              </w:rPr>
              <w:t>Use when</w:t>
            </w:r>
          </w:p>
        </w:tc>
        <w:tc>
          <w:tcPr>
            <w:tcW w:type="dxa" w:w="4320"/>
          </w:tcPr>
          <w:p>
            <w:r>
              <w:t>Use when compatible units should be compared directly.</w:t>
            </w:r>
          </w:p>
        </w:tc>
      </w:tr>
      <w:tr>
        <w:tc>
          <w:tcPr>
            <w:tcW w:type="dxa" w:w="4320"/>
            <w:shd w:val="clear" w:color="auto" w:fill="E8F0FE"/>
          </w:tcPr>
          <w:p>
            <w:r>
              <w:rPr>
                <w:b/>
              </w:rPr>
              <w:t>Exam clue</w:t>
            </w:r>
          </w:p>
        </w:tc>
        <w:tc>
          <w:tcPr>
            <w:tcW w:type="dxa" w:w="4320"/>
          </w:tcPr>
          <w:p>
            <w:r>
              <w:t>Measure Values and Measure Names are common building blocks.</w:t>
            </w:r>
          </w:p>
        </w:tc>
      </w:tr>
      <w:tr>
        <w:tc>
          <w:tcPr>
            <w:tcW w:type="dxa" w:w="4320"/>
            <w:shd w:val="clear" w:color="auto" w:fill="E8F0FE"/>
          </w:tcPr>
          <w:p>
            <w:r>
              <w:rPr>
                <w:b/>
              </w:rPr>
              <w:t>Pitfall</w:t>
            </w:r>
          </w:p>
        </w:tc>
        <w:tc>
          <w:tcPr>
            <w:tcW w:type="dxa" w:w="4320"/>
          </w:tcPr>
          <w:p>
            <w:r>
              <w:t>Different units on one axis mislead.</w:t>
            </w:r>
          </w:p>
        </w:tc>
      </w:tr>
    </w:tbl>
    <w:p>
      <w:pPr>
        <w:pStyle w:val="Heading3"/>
      </w:pPr>
      <w:r>
        <w:t>2.1.6 — Create a dual-axis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Two measures use independent axes with separate Marks cards.</w:t>
            </w:r>
          </w:p>
        </w:tc>
      </w:tr>
      <w:tr>
        <w:tc>
          <w:tcPr>
            <w:tcW w:type="dxa" w:w="4320"/>
            <w:shd w:val="clear" w:color="auto" w:fill="E8F0FE"/>
          </w:tcPr>
          <w:p>
            <w:r>
              <w:rPr>
                <w:b/>
              </w:rPr>
              <w:t>Use when</w:t>
            </w:r>
          </w:p>
        </w:tc>
        <w:tc>
          <w:tcPr>
            <w:tcW w:type="dxa" w:w="4320"/>
          </w:tcPr>
          <w:p>
            <w:r>
              <w:t>Use to layer related measures with different scales or mark types.</w:t>
            </w:r>
          </w:p>
        </w:tc>
      </w:tr>
      <w:tr>
        <w:tc>
          <w:tcPr>
            <w:tcW w:type="dxa" w:w="4320"/>
            <w:shd w:val="clear" w:color="auto" w:fill="E8F0FE"/>
          </w:tcPr>
          <w:p>
            <w:r>
              <w:rPr>
                <w:b/>
              </w:rPr>
              <w:t>Exam clue</w:t>
            </w:r>
          </w:p>
        </w:tc>
        <w:tc>
          <w:tcPr>
            <w:tcW w:type="dxa" w:w="4320"/>
          </w:tcPr>
          <w:p>
            <w:r>
              <w:t>Synchronise axes when measures share units.</w:t>
            </w:r>
          </w:p>
        </w:tc>
      </w:tr>
      <w:tr>
        <w:tc>
          <w:tcPr>
            <w:tcW w:type="dxa" w:w="4320"/>
            <w:shd w:val="clear" w:color="auto" w:fill="E8F0FE"/>
          </w:tcPr>
          <w:p>
            <w:r>
              <w:rPr>
                <w:b/>
              </w:rPr>
              <w:t>Pitfall</w:t>
            </w:r>
          </w:p>
        </w:tc>
        <w:tc>
          <w:tcPr>
            <w:tcW w:type="dxa" w:w="4320"/>
          </w:tcPr>
          <w:p>
            <w:r>
              <w:t>Unsynchronised axes can imply artificial relationships.</w:t>
            </w:r>
          </w:p>
        </w:tc>
      </w:tr>
    </w:tbl>
    <w:p>
      <w:pPr>
        <w:pStyle w:val="Heading3"/>
      </w:pPr>
      <w:r>
        <w:t>2.1.7 — Create a stacked bar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Segments divide each bar into contributions to a total.</w:t>
            </w:r>
          </w:p>
        </w:tc>
      </w:tr>
      <w:tr>
        <w:tc>
          <w:tcPr>
            <w:tcW w:type="dxa" w:w="4320"/>
            <w:shd w:val="clear" w:color="auto" w:fill="E8F0FE"/>
          </w:tcPr>
          <w:p>
            <w:r>
              <w:rPr>
                <w:b/>
              </w:rPr>
              <w:t>Use when</w:t>
            </w:r>
          </w:p>
        </w:tc>
        <w:tc>
          <w:tcPr>
            <w:tcW w:type="dxa" w:w="4320"/>
          </w:tcPr>
          <w:p>
            <w:r>
              <w:t>Use for composition plus total comparison.</w:t>
            </w:r>
          </w:p>
        </w:tc>
      </w:tr>
      <w:tr>
        <w:tc>
          <w:tcPr>
            <w:tcW w:type="dxa" w:w="4320"/>
            <w:shd w:val="clear" w:color="auto" w:fill="E8F0FE"/>
          </w:tcPr>
          <w:p>
            <w:r>
              <w:rPr>
                <w:b/>
              </w:rPr>
              <w:t>Exam clue</w:t>
            </w:r>
          </w:p>
        </w:tc>
        <w:tc>
          <w:tcPr>
            <w:tcW w:type="dxa" w:w="4320"/>
          </w:tcPr>
          <w:p>
            <w:r>
              <w:t>Colour defines the stack.</w:t>
            </w:r>
          </w:p>
        </w:tc>
      </w:tr>
      <w:tr>
        <w:tc>
          <w:tcPr>
            <w:tcW w:type="dxa" w:w="4320"/>
            <w:shd w:val="clear" w:color="auto" w:fill="E8F0FE"/>
          </w:tcPr>
          <w:p>
            <w:r>
              <w:rPr>
                <w:b/>
              </w:rPr>
              <w:t>Pitfall</w:t>
            </w:r>
          </w:p>
        </w:tc>
        <w:tc>
          <w:tcPr>
            <w:tcW w:type="dxa" w:w="4320"/>
          </w:tcPr>
          <w:p>
            <w:r>
              <w:t>Middle segments lack a common baseline.</w:t>
            </w:r>
          </w:p>
        </w:tc>
      </w:tr>
    </w:tbl>
    <w:p>
      <w:pPr>
        <w:pStyle w:val="Heading3"/>
      </w:pPr>
      <w:r>
        <w:t>2.1.8 — Create a density map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Overlapping points become a smooth concentration surface.</w:t>
            </w:r>
          </w:p>
        </w:tc>
      </w:tr>
      <w:tr>
        <w:tc>
          <w:tcPr>
            <w:tcW w:type="dxa" w:w="4320"/>
            <w:shd w:val="clear" w:color="auto" w:fill="E8F0FE"/>
          </w:tcPr>
          <w:p>
            <w:r>
              <w:rPr>
                <w:b/>
              </w:rPr>
              <w:t>Use when</w:t>
            </w:r>
          </w:p>
        </w:tc>
        <w:tc>
          <w:tcPr>
            <w:tcW w:type="dxa" w:w="4320"/>
          </w:tcPr>
          <w:p>
            <w:r>
              <w:t>Use where hotspots matter more than individual points.</w:t>
            </w:r>
          </w:p>
        </w:tc>
      </w:tr>
      <w:tr>
        <w:tc>
          <w:tcPr>
            <w:tcW w:type="dxa" w:w="4320"/>
            <w:shd w:val="clear" w:color="auto" w:fill="E8F0FE"/>
          </w:tcPr>
          <w:p>
            <w:r>
              <w:rPr>
                <w:b/>
              </w:rPr>
              <w:t>Exam clue</w:t>
            </w:r>
          </w:p>
        </w:tc>
        <w:tc>
          <w:tcPr>
            <w:tcW w:type="dxa" w:w="4320"/>
          </w:tcPr>
          <w:p>
            <w:r>
              <w:t>Intensity reflects local concentration and optional weighting.</w:t>
            </w:r>
          </w:p>
        </w:tc>
      </w:tr>
      <w:tr>
        <w:tc>
          <w:tcPr>
            <w:tcW w:type="dxa" w:w="4320"/>
            <w:shd w:val="clear" w:color="auto" w:fill="E8F0FE"/>
          </w:tcPr>
          <w:p>
            <w:r>
              <w:rPr>
                <w:b/>
              </w:rPr>
              <w:t>Pitfall</w:t>
            </w:r>
          </w:p>
        </w:tc>
        <w:tc>
          <w:tcPr>
            <w:tcW w:type="dxa" w:w="4320"/>
          </w:tcPr>
          <w:p>
            <w:r>
              <w:t>Sparse data or smoothing can manufacture hotspots.</w:t>
            </w:r>
          </w:p>
        </w:tc>
      </w:tr>
    </w:tbl>
    <w:p>
      <w:pPr>
        <w:pStyle w:val="Heading3"/>
      </w:pPr>
      <w:r>
        <w:t>2.1.9 — Crosstab and highlight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Text tables show exact values; colour adds pattern detection.</w:t>
            </w:r>
          </w:p>
        </w:tc>
      </w:tr>
      <w:tr>
        <w:tc>
          <w:tcPr>
            <w:tcW w:type="dxa" w:w="4320"/>
            <w:shd w:val="clear" w:color="auto" w:fill="E8F0FE"/>
          </w:tcPr>
          <w:p>
            <w:r>
              <w:rPr>
                <w:b/>
              </w:rPr>
              <w:t>Use when</w:t>
            </w:r>
          </w:p>
        </w:tc>
        <w:tc>
          <w:tcPr>
            <w:tcW w:type="dxa" w:w="4320"/>
          </w:tcPr>
          <w:p>
            <w:r>
              <w:t>Use for lookup precision plus comparative scanning.</w:t>
            </w:r>
          </w:p>
        </w:tc>
      </w:tr>
      <w:tr>
        <w:tc>
          <w:tcPr>
            <w:tcW w:type="dxa" w:w="4320"/>
            <w:shd w:val="clear" w:color="auto" w:fill="E8F0FE"/>
          </w:tcPr>
          <w:p>
            <w:r>
              <w:rPr>
                <w:b/>
              </w:rPr>
              <w:t>Exam clue</w:t>
            </w:r>
          </w:p>
        </w:tc>
        <w:tc>
          <w:tcPr>
            <w:tcW w:type="dxa" w:w="4320"/>
          </w:tcPr>
          <w:p>
            <w:r>
              <w:t>Measure Names and Measure Values can present several KPIs.</w:t>
            </w:r>
          </w:p>
        </w:tc>
      </w:tr>
      <w:tr>
        <w:tc>
          <w:tcPr>
            <w:tcW w:type="dxa" w:w="4320"/>
            <w:shd w:val="clear" w:color="auto" w:fill="E8F0FE"/>
          </w:tcPr>
          <w:p>
            <w:r>
              <w:rPr>
                <w:b/>
              </w:rPr>
              <w:t>Pitfall</w:t>
            </w:r>
          </w:p>
        </w:tc>
        <w:tc>
          <w:tcPr>
            <w:tcW w:type="dxa" w:w="4320"/>
          </w:tcPr>
          <w:p>
            <w:r>
              <w:t>Too many cells overwhelm; filter and use meaningful scales.</w:t>
            </w:r>
          </w:p>
        </w:tc>
      </w:tr>
    </w:tbl>
    <w:p>
      <w:pPr>
        <w:pStyle w:val="Heading2"/>
      </w:pPr>
      <w:r>
        <w:t>Organise data and apply filters</w:t>
      </w:r>
    </w:p>
    <w:p>
      <w:pPr>
        <w:pStyle w:val="Heading3"/>
      </w:pPr>
      <w:r>
        <w:t>2.2.1 — Create groups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Groups combine members into higher-level categories.</w:t>
            </w:r>
          </w:p>
        </w:tc>
      </w:tr>
      <w:tr>
        <w:tc>
          <w:tcPr>
            <w:tcW w:type="dxa" w:w="4320"/>
            <w:shd w:val="clear" w:color="auto" w:fill="E8F0FE"/>
          </w:tcPr>
          <w:p>
            <w:r>
              <w:rPr>
                <w:b/>
              </w:rPr>
              <w:t>Use when</w:t>
            </w:r>
          </w:p>
        </w:tc>
        <w:tc>
          <w:tcPr>
            <w:tcW w:type="dxa" w:w="4320"/>
          </w:tcPr>
          <w:p>
            <w:r>
              <w:t>Use to correct labels, merge small categories or define business groupings.</w:t>
            </w:r>
          </w:p>
        </w:tc>
      </w:tr>
      <w:tr>
        <w:tc>
          <w:tcPr>
            <w:tcW w:type="dxa" w:w="4320"/>
            <w:shd w:val="clear" w:color="auto" w:fill="E8F0FE"/>
          </w:tcPr>
          <w:p>
            <w:r>
              <w:rPr>
                <w:b/>
              </w:rPr>
              <w:t>Exam clue</w:t>
            </w:r>
          </w:p>
        </w:tc>
        <w:tc>
          <w:tcPr>
            <w:tcW w:type="dxa" w:w="4320"/>
          </w:tcPr>
          <w:p>
            <w:r>
              <w:t>Create from marks, headers or the Data pane.</w:t>
            </w:r>
          </w:p>
        </w:tc>
      </w:tr>
      <w:tr>
        <w:tc>
          <w:tcPr>
            <w:tcW w:type="dxa" w:w="4320"/>
            <w:shd w:val="clear" w:color="auto" w:fill="E8F0FE"/>
          </w:tcPr>
          <w:p>
            <w:r>
              <w:rPr>
                <w:b/>
              </w:rPr>
              <w:t>Pitfall</w:t>
            </w:r>
          </w:p>
        </w:tc>
        <w:tc>
          <w:tcPr>
            <w:tcW w:type="dxa" w:w="4320"/>
          </w:tcPr>
          <w:p>
            <w:r>
              <w:t>A manual group does not absorb new members automatically.</w:t>
            </w:r>
          </w:p>
        </w:tc>
      </w:tr>
    </w:tbl>
    <w:p>
      <w:pPr>
        <w:pStyle w:val="Heading3"/>
      </w:pPr>
      <w:r>
        <w:t>2.2.2 — Create sets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set divides members into IN and OUT using rules or selection.</w:t>
            </w:r>
          </w:p>
        </w:tc>
      </w:tr>
      <w:tr>
        <w:tc>
          <w:tcPr>
            <w:tcW w:type="dxa" w:w="4320"/>
            <w:shd w:val="clear" w:color="auto" w:fill="E8F0FE"/>
          </w:tcPr>
          <w:p>
            <w:r>
              <w:rPr>
                <w:b/>
              </w:rPr>
              <w:t>Use when</w:t>
            </w:r>
          </w:p>
        </w:tc>
        <w:tc>
          <w:tcPr>
            <w:tcW w:type="dxa" w:w="4320"/>
          </w:tcPr>
          <w:p>
            <w:r>
              <w:t>Use for Top N, threshold cohorts and set actions.</w:t>
            </w:r>
          </w:p>
        </w:tc>
      </w:tr>
      <w:tr>
        <w:tc>
          <w:tcPr>
            <w:tcW w:type="dxa" w:w="4320"/>
            <w:shd w:val="clear" w:color="auto" w:fill="E8F0FE"/>
          </w:tcPr>
          <w:p>
            <w:r>
              <w:rPr>
                <w:b/>
              </w:rPr>
              <w:t>Exam clue</w:t>
            </w:r>
          </w:p>
        </w:tc>
        <w:tc>
          <w:tcPr>
            <w:tcW w:type="dxa" w:w="4320"/>
          </w:tcPr>
          <w:p>
            <w:r>
              <w:t>Sets can be fixed, conditional, Top N or combined.</w:t>
            </w:r>
          </w:p>
        </w:tc>
      </w:tr>
      <w:tr>
        <w:tc>
          <w:tcPr>
            <w:tcW w:type="dxa" w:w="4320"/>
            <w:shd w:val="clear" w:color="auto" w:fill="E8F0FE"/>
          </w:tcPr>
          <w:p>
            <w:r>
              <w:rPr>
                <w:b/>
              </w:rPr>
              <w:t>Pitfall</w:t>
            </w:r>
          </w:p>
        </w:tc>
        <w:tc>
          <w:tcPr>
            <w:tcW w:type="dxa" w:w="4320"/>
          </w:tcPr>
          <w:p>
            <w:r>
              <w:t>A set is not just a filter; it can remain visible as a category.</w:t>
            </w:r>
          </w:p>
        </w:tc>
      </w:tr>
    </w:tbl>
    <w:p>
      <w:pPr>
        <w:pStyle w:val="Heading3"/>
      </w:pPr>
      <w:r>
        <w:t>2.2.3 — Create hierarchies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Hierarchies organise dimensions into a drill path.</w:t>
            </w:r>
          </w:p>
        </w:tc>
      </w:tr>
      <w:tr>
        <w:tc>
          <w:tcPr>
            <w:tcW w:type="dxa" w:w="4320"/>
            <w:shd w:val="clear" w:color="auto" w:fill="E8F0FE"/>
          </w:tcPr>
          <w:p>
            <w:r>
              <w:rPr>
                <w:b/>
              </w:rPr>
              <w:t>Use when</w:t>
            </w:r>
          </w:p>
        </w:tc>
        <w:tc>
          <w:tcPr>
            <w:tcW w:type="dxa" w:w="4320"/>
          </w:tcPr>
          <w:p>
            <w:r>
              <w:t>Use Country &gt; Region &gt; City or Category &gt; Product.</w:t>
            </w:r>
          </w:p>
        </w:tc>
      </w:tr>
      <w:tr>
        <w:tc>
          <w:tcPr>
            <w:tcW w:type="dxa" w:w="4320"/>
            <w:shd w:val="clear" w:color="auto" w:fill="E8F0FE"/>
          </w:tcPr>
          <w:p>
            <w:r>
              <w:rPr>
                <w:b/>
              </w:rPr>
              <w:t>Exam clue</w:t>
            </w:r>
          </w:p>
        </w:tc>
        <w:tc>
          <w:tcPr>
            <w:tcW w:type="dxa" w:w="4320"/>
          </w:tcPr>
          <w:p>
            <w:r>
              <w:t>Plus/minus controls expand or collapse levels.</w:t>
            </w:r>
          </w:p>
        </w:tc>
      </w:tr>
      <w:tr>
        <w:tc>
          <w:tcPr>
            <w:tcW w:type="dxa" w:w="4320"/>
            <w:shd w:val="clear" w:color="auto" w:fill="E8F0FE"/>
          </w:tcPr>
          <w:p>
            <w:r>
              <w:rPr>
                <w:b/>
              </w:rPr>
              <w:t>Pitfall</w:t>
            </w:r>
          </w:p>
        </w:tc>
        <w:tc>
          <w:tcPr>
            <w:tcW w:type="dxa" w:w="4320"/>
          </w:tcPr>
          <w:p>
            <w:r>
              <w:t>A hierarchy does not define data-model integrity.</w:t>
            </w:r>
          </w:p>
        </w:tc>
      </w:tr>
    </w:tbl>
    <w:p>
      <w:pPr>
        <w:pStyle w:val="Heading3"/>
      </w:pPr>
      <w:r>
        <w:t>2.2.4 — Add filters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Filters restrict data or marks at specific order-of-operations stages.</w:t>
            </w:r>
          </w:p>
        </w:tc>
      </w:tr>
      <w:tr>
        <w:tc>
          <w:tcPr>
            <w:tcW w:type="dxa" w:w="4320"/>
            <w:shd w:val="clear" w:color="auto" w:fill="E8F0FE"/>
          </w:tcPr>
          <w:p>
            <w:r>
              <w:rPr>
                <w:b/>
              </w:rPr>
              <w:t>Use when</w:t>
            </w:r>
          </w:p>
        </w:tc>
        <w:tc>
          <w:tcPr>
            <w:tcW w:type="dxa" w:w="4320"/>
          </w:tcPr>
          <w:p>
            <w:r>
              <w:t>Use to focus scope or support interaction.</w:t>
            </w:r>
          </w:p>
        </w:tc>
      </w:tr>
      <w:tr>
        <w:tc>
          <w:tcPr>
            <w:tcW w:type="dxa" w:w="4320"/>
            <w:shd w:val="clear" w:color="auto" w:fill="E8F0FE"/>
          </w:tcPr>
          <w:p>
            <w:r>
              <w:rPr>
                <w:b/>
              </w:rPr>
              <w:t>Exam clue</w:t>
            </w:r>
          </w:p>
        </w:tc>
        <w:tc>
          <w:tcPr>
            <w:tcW w:type="dxa" w:w="4320"/>
          </w:tcPr>
          <w:p>
            <w:r>
              <w:t>Dimension, measure, context and table-calculation filters differ.</w:t>
            </w:r>
          </w:p>
        </w:tc>
      </w:tr>
      <w:tr>
        <w:tc>
          <w:tcPr>
            <w:tcW w:type="dxa" w:w="4320"/>
            <w:shd w:val="clear" w:color="auto" w:fill="E8F0FE"/>
          </w:tcPr>
          <w:p>
            <w:r>
              <w:rPr>
                <w:b/>
              </w:rPr>
              <w:t>Pitfall</w:t>
            </w:r>
          </w:p>
        </w:tc>
        <w:tc>
          <w:tcPr>
            <w:tcW w:type="dxa" w:w="4320"/>
          </w:tcPr>
          <w:p>
            <w:r>
              <w:t>Filtering after aggregation is not filtering source rows.</w:t>
            </w:r>
          </w:p>
        </w:tc>
      </w:tr>
    </w:tbl>
    <w:p>
      <w:pPr>
        <w:pStyle w:val="Heading3"/>
      </w:pPr>
      <w:r>
        <w:t>2.2.5 — Add date filters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Dates can be filtered by part, range, relative period or starting date.</w:t>
            </w:r>
          </w:p>
        </w:tc>
      </w:tr>
      <w:tr>
        <w:tc>
          <w:tcPr>
            <w:tcW w:type="dxa" w:w="4320"/>
            <w:shd w:val="clear" w:color="auto" w:fill="E8F0FE"/>
          </w:tcPr>
          <w:p>
            <w:r>
              <w:rPr>
                <w:b/>
              </w:rPr>
              <w:t>Use when</w:t>
            </w:r>
          </w:p>
        </w:tc>
        <w:tc>
          <w:tcPr>
            <w:tcW w:type="dxa" w:w="4320"/>
          </w:tcPr>
          <w:p>
            <w:r>
              <w:t>Use for rolling windows and time scope controls.</w:t>
            </w:r>
          </w:p>
        </w:tc>
      </w:tr>
      <w:tr>
        <w:tc>
          <w:tcPr>
            <w:tcW w:type="dxa" w:w="4320"/>
            <w:shd w:val="clear" w:color="auto" w:fill="E8F0FE"/>
          </w:tcPr>
          <w:p>
            <w:r>
              <w:rPr>
                <w:b/>
              </w:rPr>
              <w:t>Exam clue</w:t>
            </w:r>
          </w:p>
        </w:tc>
        <w:tc>
          <w:tcPr>
            <w:tcW w:type="dxa" w:w="4320"/>
          </w:tcPr>
          <w:p>
            <w:r>
              <w:t>Relative date filters move with the current date.</w:t>
            </w:r>
          </w:p>
        </w:tc>
      </w:tr>
      <w:tr>
        <w:tc>
          <w:tcPr>
            <w:tcW w:type="dxa" w:w="4320"/>
            <w:shd w:val="clear" w:color="auto" w:fill="E8F0FE"/>
          </w:tcPr>
          <w:p>
            <w:r>
              <w:rPr>
                <w:b/>
              </w:rPr>
              <w:t>Pitfall</w:t>
            </w:r>
          </w:p>
        </w:tc>
        <w:tc>
          <w:tcPr>
            <w:tcW w:type="dxa" w:w="4320"/>
          </w:tcPr>
          <w:p>
            <w:r>
              <w:t>Discrete Month alone mixes the same month across years.</w:t>
            </w:r>
          </w:p>
        </w:tc>
      </w:tr>
    </w:tbl>
    <w:p>
      <w:pPr>
        <w:pStyle w:val="Heading2"/>
      </w:pPr>
      <w:r>
        <w:t>Apply analytics to a worksheet</w:t>
      </w:r>
    </w:p>
    <w:p>
      <w:pPr>
        <w:pStyle w:val="Heading3"/>
      </w:pPr>
      <w:r>
        <w:t>2.3.1 — Manual and computed sorts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Sorting controls the order of headers and marks.</w:t>
            </w:r>
          </w:p>
        </w:tc>
      </w:tr>
      <w:tr>
        <w:tc>
          <w:tcPr>
            <w:tcW w:type="dxa" w:w="4320"/>
            <w:shd w:val="clear" w:color="auto" w:fill="E8F0FE"/>
          </w:tcPr>
          <w:p>
            <w:r>
              <w:rPr>
                <w:b/>
              </w:rPr>
              <w:t>Use when</w:t>
            </w:r>
          </w:p>
        </w:tc>
        <w:tc>
          <w:tcPr>
            <w:tcW w:type="dxa" w:w="4320"/>
          </w:tcPr>
          <w:p>
            <w:r>
              <w:t>Use manual order for business logic and computed order for ranking.</w:t>
            </w:r>
          </w:p>
        </w:tc>
      </w:tr>
      <w:tr>
        <w:tc>
          <w:tcPr>
            <w:tcW w:type="dxa" w:w="4320"/>
            <w:shd w:val="clear" w:color="auto" w:fill="E8F0FE"/>
          </w:tcPr>
          <w:p>
            <w:r>
              <w:rPr>
                <w:b/>
              </w:rPr>
              <w:t>Exam clue</w:t>
            </w:r>
          </w:p>
        </w:tc>
        <w:tc>
          <w:tcPr>
            <w:tcW w:type="dxa" w:w="4320"/>
          </w:tcPr>
          <w:p>
            <w:r>
              <w:t>Nested sorts order members within panes.</w:t>
            </w:r>
          </w:p>
        </w:tc>
      </w:tr>
      <w:tr>
        <w:tc>
          <w:tcPr>
            <w:tcW w:type="dxa" w:w="4320"/>
            <w:shd w:val="clear" w:color="auto" w:fill="E8F0FE"/>
          </w:tcPr>
          <w:p>
            <w:r>
              <w:rPr>
                <w:b/>
              </w:rPr>
              <w:t>Pitfall</w:t>
            </w:r>
          </w:p>
        </w:tc>
        <w:tc>
          <w:tcPr>
            <w:tcW w:type="dxa" w:w="4320"/>
          </w:tcPr>
          <w:p>
            <w:r>
              <w:t>Manual order can become stale as data changes.</w:t>
            </w:r>
          </w:p>
        </w:tc>
      </w:tr>
    </w:tbl>
    <w:p>
      <w:pPr>
        <w:pStyle w:val="Heading3"/>
      </w:pPr>
      <w:r>
        <w:t>2.3.2 — Add a reference line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line or band provides a benchmark for a scope.</w:t>
            </w:r>
          </w:p>
        </w:tc>
      </w:tr>
      <w:tr>
        <w:tc>
          <w:tcPr>
            <w:tcW w:type="dxa" w:w="4320"/>
            <w:shd w:val="clear" w:color="auto" w:fill="E8F0FE"/>
          </w:tcPr>
          <w:p>
            <w:r>
              <w:rPr>
                <w:b/>
              </w:rPr>
              <w:t>Use when</w:t>
            </w:r>
          </w:p>
        </w:tc>
        <w:tc>
          <w:tcPr>
            <w:tcW w:type="dxa" w:w="4320"/>
          </w:tcPr>
          <w:p>
            <w:r>
              <w:t>Use for targets, averages, medians and ranges.</w:t>
            </w:r>
          </w:p>
        </w:tc>
      </w:tr>
      <w:tr>
        <w:tc>
          <w:tcPr>
            <w:tcW w:type="dxa" w:w="4320"/>
            <w:shd w:val="clear" w:color="auto" w:fill="E8F0FE"/>
          </w:tcPr>
          <w:p>
            <w:r>
              <w:rPr>
                <w:b/>
              </w:rPr>
              <w:t>Exam clue</w:t>
            </w:r>
          </w:p>
        </w:tc>
        <w:tc>
          <w:tcPr>
            <w:tcW w:type="dxa" w:w="4320"/>
          </w:tcPr>
          <w:p>
            <w:r>
              <w:t>Scope can be table, pane or cell.</w:t>
            </w:r>
          </w:p>
        </w:tc>
      </w:tr>
      <w:tr>
        <w:tc>
          <w:tcPr>
            <w:tcW w:type="dxa" w:w="4320"/>
            <w:shd w:val="clear" w:color="auto" w:fill="E8F0FE"/>
          </w:tcPr>
          <w:p>
            <w:r>
              <w:rPr>
                <w:b/>
              </w:rPr>
              <w:t>Pitfall</w:t>
            </w:r>
          </w:p>
        </w:tc>
        <w:tc>
          <w:tcPr>
            <w:tcW w:type="dxa" w:w="4320"/>
          </w:tcPr>
          <w:p>
            <w:r>
              <w:t>A table average can hide pane-level differences.</w:t>
            </w:r>
          </w:p>
        </w:tc>
      </w:tr>
    </w:tbl>
    <w:p>
      <w:pPr>
        <w:pStyle w:val="Heading3"/>
      </w:pPr>
      <w:r>
        <w:t>2.3.3 — Use quick table calculations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Table calculations operate on marks already returned to the view.</w:t>
            </w:r>
          </w:p>
        </w:tc>
      </w:tr>
      <w:tr>
        <w:tc>
          <w:tcPr>
            <w:tcW w:type="dxa" w:w="4320"/>
            <w:shd w:val="clear" w:color="auto" w:fill="E8F0FE"/>
          </w:tcPr>
          <w:p>
            <w:r>
              <w:rPr>
                <w:b/>
              </w:rPr>
              <w:t>Use when</w:t>
            </w:r>
          </w:p>
        </w:tc>
        <w:tc>
          <w:tcPr>
            <w:tcW w:type="dxa" w:w="4320"/>
          </w:tcPr>
          <w:p>
            <w:r>
              <w:t>Use running total, percent of total, difference, rank or moving average.</w:t>
            </w:r>
          </w:p>
        </w:tc>
      </w:tr>
      <w:tr>
        <w:tc>
          <w:tcPr>
            <w:tcW w:type="dxa" w:w="4320"/>
            <w:shd w:val="clear" w:color="auto" w:fill="E8F0FE"/>
          </w:tcPr>
          <w:p>
            <w:r>
              <w:rPr>
                <w:b/>
              </w:rPr>
              <w:t>Exam clue</w:t>
            </w:r>
          </w:p>
        </w:tc>
        <w:tc>
          <w:tcPr>
            <w:tcW w:type="dxa" w:w="4320"/>
          </w:tcPr>
          <w:p>
            <w:r>
              <w:t>Compute Using defines addressing and partitioning.</w:t>
            </w:r>
          </w:p>
        </w:tc>
      </w:tr>
      <w:tr>
        <w:tc>
          <w:tcPr>
            <w:tcW w:type="dxa" w:w="4320"/>
            <w:shd w:val="clear" w:color="auto" w:fill="E8F0FE"/>
          </w:tcPr>
          <w:p>
            <w:r>
              <w:rPr>
                <w:b/>
              </w:rPr>
              <w:t>Pitfall</w:t>
            </w:r>
          </w:p>
        </w:tc>
        <w:tc>
          <w:tcPr>
            <w:tcW w:type="dxa" w:w="4320"/>
          </w:tcPr>
          <w:p>
            <w:r>
              <w:t>Changing layout can change the calculation.</w:t>
            </w:r>
          </w:p>
        </w:tc>
      </w:tr>
    </w:tbl>
    <w:p>
      <w:pPr>
        <w:pStyle w:val="Heading3"/>
      </w:pPr>
      <w:r>
        <w:t>2.3.4 — Create bins and histograms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Bins partition a measure into equal-width intervals.</w:t>
            </w:r>
          </w:p>
        </w:tc>
      </w:tr>
      <w:tr>
        <w:tc>
          <w:tcPr>
            <w:tcW w:type="dxa" w:w="4320"/>
            <w:shd w:val="clear" w:color="auto" w:fill="E8F0FE"/>
          </w:tcPr>
          <w:p>
            <w:r>
              <w:rPr>
                <w:b/>
              </w:rPr>
              <w:t>Use when</w:t>
            </w:r>
          </w:p>
        </w:tc>
        <w:tc>
          <w:tcPr>
            <w:tcW w:type="dxa" w:w="4320"/>
          </w:tcPr>
          <w:p>
            <w:r>
              <w:t>Use a histogram for distribution shape and unusual ranges.</w:t>
            </w:r>
          </w:p>
        </w:tc>
      </w:tr>
      <w:tr>
        <w:tc>
          <w:tcPr>
            <w:tcW w:type="dxa" w:w="4320"/>
            <w:shd w:val="clear" w:color="auto" w:fill="E8F0FE"/>
          </w:tcPr>
          <w:p>
            <w:r>
              <w:rPr>
                <w:b/>
              </w:rPr>
              <w:t>Exam clue</w:t>
            </w:r>
          </w:p>
        </w:tc>
        <w:tc>
          <w:tcPr>
            <w:tcW w:type="dxa" w:w="4320"/>
          </w:tcPr>
          <w:p>
            <w:r>
              <w:t>Bin size controls resolution.</w:t>
            </w:r>
          </w:p>
        </w:tc>
      </w:tr>
      <w:tr>
        <w:tc>
          <w:tcPr>
            <w:tcW w:type="dxa" w:w="4320"/>
            <w:shd w:val="clear" w:color="auto" w:fill="E8F0FE"/>
          </w:tcPr>
          <w:p>
            <w:r>
              <w:rPr>
                <w:b/>
              </w:rPr>
              <w:t>Pitfall</w:t>
            </w:r>
          </w:p>
        </w:tc>
        <w:tc>
          <w:tcPr>
            <w:tcW w:type="dxa" w:w="4320"/>
          </w:tcPr>
          <w:p>
            <w:r>
              <w:t>Poor bin width can hide or invent patterns.</w:t>
            </w:r>
          </w:p>
        </w:tc>
      </w:tr>
    </w:tbl>
    <w:p>
      <w:pPr>
        <w:pStyle w:val="Heading3"/>
      </w:pPr>
      <w:r>
        <w:t>2.3.5 — Create calculated fields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Calculated fields derive row-level, aggregate or table values.</w:t>
            </w:r>
          </w:p>
        </w:tc>
      </w:tr>
      <w:tr>
        <w:tc>
          <w:tcPr>
            <w:tcW w:type="dxa" w:w="4320"/>
            <w:shd w:val="clear" w:color="auto" w:fill="E8F0FE"/>
          </w:tcPr>
          <w:p>
            <w:r>
              <w:rPr>
                <w:b/>
              </w:rPr>
              <w:t>Use when</w:t>
            </w:r>
          </w:p>
        </w:tc>
        <w:tc>
          <w:tcPr>
            <w:tcW w:type="dxa" w:w="4320"/>
          </w:tcPr>
          <w:p>
            <w:r>
              <w:t>Use for arithmetic, strings, dates and business rules.</w:t>
            </w:r>
          </w:p>
        </w:tc>
      </w:tr>
      <w:tr>
        <w:tc>
          <w:tcPr>
            <w:tcW w:type="dxa" w:w="4320"/>
            <w:shd w:val="clear" w:color="auto" w:fill="E8F0FE"/>
          </w:tcPr>
          <w:p>
            <w:r>
              <w:rPr>
                <w:b/>
              </w:rPr>
              <w:t>Exam clue</w:t>
            </w:r>
          </w:p>
        </w:tc>
        <w:tc>
          <w:tcPr>
            <w:tcW w:type="dxa" w:w="4320"/>
          </w:tcPr>
          <w:p>
            <w:r>
              <w:t>Aggregate and non-aggregate expressions cannot be mixed directly.</w:t>
            </w:r>
          </w:p>
        </w:tc>
      </w:tr>
      <w:tr>
        <w:tc>
          <w:tcPr>
            <w:tcW w:type="dxa" w:w="4320"/>
            <w:shd w:val="clear" w:color="auto" w:fill="E8F0FE"/>
          </w:tcPr>
          <w:p>
            <w:r>
              <w:rPr>
                <w:b/>
              </w:rPr>
              <w:t>Pitfall</w:t>
            </w:r>
          </w:p>
        </w:tc>
        <w:tc>
          <w:tcPr>
            <w:tcW w:type="dxa" w:w="4320"/>
          </w:tcPr>
          <w:p>
            <w:r>
              <w:t>Nulls propagate unless handled.</w:t>
            </w:r>
          </w:p>
        </w:tc>
      </w:tr>
    </w:tbl>
    <w:p>
      <w:pPr>
        <w:pStyle w:val="Heading3"/>
      </w:pPr>
      <w:r>
        <w:t>2.3.6 — Use parameters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parameter is a workbook value controlled by the user.</w:t>
            </w:r>
          </w:p>
        </w:tc>
      </w:tr>
      <w:tr>
        <w:tc>
          <w:tcPr>
            <w:tcW w:type="dxa" w:w="4320"/>
            <w:shd w:val="clear" w:color="auto" w:fill="E8F0FE"/>
          </w:tcPr>
          <w:p>
            <w:r>
              <w:rPr>
                <w:b/>
              </w:rPr>
              <w:t>Use when</w:t>
            </w:r>
          </w:p>
        </w:tc>
        <w:tc>
          <w:tcPr>
            <w:tcW w:type="dxa" w:w="4320"/>
          </w:tcPr>
          <w:p>
            <w:r>
              <w:t>Use to swap measures, set thresholds or run what-if analysis.</w:t>
            </w:r>
          </w:p>
        </w:tc>
      </w:tr>
      <w:tr>
        <w:tc>
          <w:tcPr>
            <w:tcW w:type="dxa" w:w="4320"/>
            <w:shd w:val="clear" w:color="auto" w:fill="E8F0FE"/>
          </w:tcPr>
          <w:p>
            <w:r>
              <w:rPr>
                <w:b/>
              </w:rPr>
              <w:t>Exam clue</w:t>
            </w:r>
          </w:p>
        </w:tc>
        <w:tc>
          <w:tcPr>
            <w:tcW w:type="dxa" w:w="4320"/>
          </w:tcPr>
          <w:p>
            <w:r>
              <w:t>A parameter acts only when referenced.</w:t>
            </w:r>
          </w:p>
        </w:tc>
      </w:tr>
      <w:tr>
        <w:tc>
          <w:tcPr>
            <w:tcW w:type="dxa" w:w="4320"/>
            <w:shd w:val="clear" w:color="auto" w:fill="E8F0FE"/>
          </w:tcPr>
          <w:p>
            <w:r>
              <w:rPr>
                <w:b/>
              </w:rPr>
              <w:t>Pitfall</w:t>
            </w:r>
          </w:p>
        </w:tc>
        <w:tc>
          <w:tcPr>
            <w:tcW w:type="dxa" w:w="4320"/>
          </w:tcPr>
          <w:p>
            <w:r>
              <w:t>Parameters are not automatically row filters.</w:t>
            </w:r>
          </w:p>
        </w:tc>
      </w:tr>
    </w:tbl>
    <w:p>
      <w:pPr>
        <w:pStyle w:val="Heading3"/>
      </w:pPr>
      <w:r>
        <w:t>2.3.7 — Display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Subtotals and grand totals summarise selected levels.</w:t>
            </w:r>
          </w:p>
        </w:tc>
      </w:tr>
      <w:tr>
        <w:tc>
          <w:tcPr>
            <w:tcW w:type="dxa" w:w="4320"/>
            <w:shd w:val="clear" w:color="auto" w:fill="E8F0FE"/>
          </w:tcPr>
          <w:p>
            <w:r>
              <w:rPr>
                <w:b/>
              </w:rPr>
              <w:t>Use when</w:t>
            </w:r>
          </w:p>
        </w:tc>
        <w:tc>
          <w:tcPr>
            <w:tcW w:type="dxa" w:w="4320"/>
          </w:tcPr>
          <w:p>
            <w:r>
              <w:t>Use when audiences need components and overall results.</w:t>
            </w:r>
          </w:p>
        </w:tc>
      </w:tr>
      <w:tr>
        <w:tc>
          <w:tcPr>
            <w:tcW w:type="dxa" w:w="4320"/>
            <w:shd w:val="clear" w:color="auto" w:fill="E8F0FE"/>
          </w:tcPr>
          <w:p>
            <w:r>
              <w:rPr>
                <w:b/>
              </w:rPr>
              <w:t>Exam clue</w:t>
            </w:r>
          </w:p>
        </w:tc>
        <w:tc>
          <w:tcPr>
            <w:tcW w:type="dxa" w:w="4320"/>
          </w:tcPr>
          <w:p>
            <w:r>
              <w:t>Total All Using can change aggregation.</w:t>
            </w:r>
          </w:p>
        </w:tc>
      </w:tr>
      <w:tr>
        <w:tc>
          <w:tcPr>
            <w:tcW w:type="dxa" w:w="4320"/>
            <w:shd w:val="clear" w:color="auto" w:fill="E8F0FE"/>
          </w:tcPr>
          <w:p>
            <w:r>
              <w:rPr>
                <w:b/>
              </w:rPr>
              <w:t>Pitfall</w:t>
            </w:r>
          </w:p>
        </w:tc>
        <w:tc>
          <w:tcPr>
            <w:tcW w:type="dxa" w:w="4320"/>
          </w:tcPr>
          <w:p>
            <w:r>
              <w:t>Summed ratios and percentages often create invalid totals.</w:t>
            </w:r>
          </w:p>
        </w:tc>
      </w:tr>
    </w:tbl>
    <w:p>
      <w:r>
        <w:br w:type="page"/>
      </w:r>
    </w:p>
    <w:p>
      <w:pPr>
        <w:pStyle w:val="Heading2"/>
      </w:pPr>
      <w:r>
        <w:t>Lab 04 — Build the Core Tableau Chart Portfolio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A consumer-electronics team needs views for ranking, trend, relationship, geography, composition and precise lookup.</w:t>
            </w:r>
          </w:p>
        </w:tc>
      </w:tr>
      <w:tr>
        <w:tc>
          <w:tcPr>
            <w:tcW w:type="dxa" w:w="4320"/>
            <w:shd w:val="clear" w:color="auto" w:fill="E8F0FE"/>
          </w:tcPr>
          <w:p>
            <w:r>
              <w:rPr>
                <w:b/>
              </w:rPr>
              <w:t>Goal</w:t>
            </w:r>
          </w:p>
        </w:tc>
        <w:tc>
          <w:tcPr>
            <w:tcW w:type="dxa" w:w="4320"/>
          </w:tcPr>
          <w:p>
            <w:r>
              <w:t>Create and justify nine chart patterns from one realistic sales dataset</w:t>
            </w:r>
          </w:p>
        </w:tc>
      </w:tr>
      <w:tr>
        <w:tc>
          <w:tcPr>
            <w:tcW w:type="dxa" w:w="4320"/>
            <w:shd w:val="clear" w:color="auto" w:fill="E8F0FE"/>
          </w:tcPr>
          <w:p>
            <w:r>
              <w:rPr>
                <w:b/>
              </w:rPr>
              <w:t>You will produce</w:t>
            </w:r>
          </w:p>
        </w:tc>
        <w:tc>
          <w:tcPr>
            <w:tcW w:type="dxa" w:w="4320"/>
          </w:tcPr>
          <w:p>
            <w:r>
              <w:t>Nine named worksheets: bar, line, scatterplot, symbol map, combined axis, dual axis, stacked bar, density map and highlight table</w:t>
            </w:r>
          </w:p>
        </w:tc>
      </w:tr>
      <w:tr>
        <w:tc>
          <w:tcPr>
            <w:tcW w:type="dxa" w:w="4320"/>
            <w:shd w:val="clear" w:color="auto" w:fill="E8F0FE"/>
          </w:tcPr>
          <w:p>
            <w:r>
              <w:rPr>
                <w:b/>
              </w:rPr>
              <w:t>Tools</w:t>
            </w:r>
          </w:p>
        </w:tc>
        <w:tc>
          <w:tcPr>
            <w:tcW w:type="dxa" w:w="4320"/>
          </w:tcPr>
          <w:p>
            <w:r>
              <w:t>Tableau Desktop · Show Me · Rows/Columns · Marks · Measure Names/Values</w:t>
            </w:r>
          </w:p>
        </w:tc>
      </w:tr>
      <w:tr>
        <w:tc>
          <w:tcPr>
            <w:tcW w:type="dxa" w:w="4320"/>
            <w:shd w:val="clear" w:color="auto" w:fill="E8F0FE"/>
          </w:tcPr>
          <w:p>
            <w:r>
              <w:rPr>
                <w:b/>
              </w:rPr>
              <w:t>Folder</w:t>
            </w:r>
          </w:p>
        </w:tc>
        <w:tc>
          <w:tcPr>
            <w:tcW w:type="dxa" w:w="4320"/>
          </w:tcPr>
          <w:p>
            <w:r>
              <w:t>labs/lab-04-build-the-core-tableau-chart-portfolio</w:t>
            </w:r>
          </w:p>
        </w:tc>
      </w:tr>
      <w:tr>
        <w:tc>
          <w:tcPr>
            <w:tcW w:type="dxa" w:w="4320"/>
            <w:shd w:val="clear" w:color="auto" w:fill="E8F0FE"/>
          </w:tcPr>
          <w:p>
            <w:r>
              <w:rPr>
                <w:b/>
              </w:rPr>
              <w:t>Excel workbook</w:t>
            </w:r>
          </w:p>
        </w:tc>
        <w:tc>
          <w:tcPr>
            <w:tcW w:type="dxa" w:w="4320"/>
          </w:tcPr>
          <w:p>
            <w:r>
              <w:t>Lab-04-Orion-Electronics-Chart-Portfolio.xlsx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Connect to Lab-04-Orion-Electronics-Chart-Portfolio.xlsx.</w:t>
      </w:r>
    </w:p>
    <w:p>
      <w:pPr>
        <w:spacing w:after="120"/>
        <w:ind w:left="432"/>
      </w:pPr>
      <w:r>
        <w:t>Use the Orders sheet and validate the Control totals.</w:t>
      </w:r>
    </w:p>
    <w:p>
      <w:pPr>
        <w:pStyle w:val="ListNumber"/>
      </w:pPr>
      <w:r>
        <w:rPr>
          <w:b/>
        </w:rPr>
        <w:t>Build Sales by Category as a sorted bar chart.</w:t>
      </w:r>
    </w:p>
    <w:p>
      <w:pPr>
        <w:spacing w:after="120"/>
        <w:ind w:left="432"/>
      </w:pPr>
      <w:r>
        <w:t>Use length on a common baseline and meaningful labels.</w:t>
      </w:r>
    </w:p>
    <w:p>
      <w:pPr>
        <w:pStyle w:val="ListNumber"/>
      </w:pPr>
      <w:r>
        <w:rPr>
          <w:b/>
        </w:rPr>
        <w:t>Build Monthly Sales and Profit as a line view.</w:t>
      </w:r>
    </w:p>
    <w:p>
      <w:pPr>
        <w:spacing w:after="120"/>
        <w:ind w:left="432"/>
      </w:pPr>
      <w:r>
        <w:t>Use a continuous Month date and annotate one material change.</w:t>
      </w:r>
    </w:p>
    <w:p>
      <w:pPr>
        <w:pStyle w:val="ListNumber"/>
      </w:pPr>
      <w:r>
        <w:rPr>
          <w:b/>
        </w:rPr>
        <w:t>Build Discount vs Profit Ratio as a scatterplot.</w:t>
      </w:r>
    </w:p>
    <w:p>
      <w:pPr>
        <w:spacing w:after="120"/>
        <w:ind w:left="432"/>
      </w:pPr>
      <w:r>
        <w:t>Place Product on Detail and Category on Colour; identify clusters and outliers.</w:t>
      </w:r>
    </w:p>
    <w:p>
      <w:pPr>
        <w:pStyle w:val="ListNumber"/>
      </w:pPr>
      <w:r>
        <w:rPr>
          <w:b/>
        </w:rPr>
        <w:t>Build Sales by City as a symbol map.</w:t>
      </w:r>
    </w:p>
    <w:p>
      <w:pPr>
        <w:spacing w:after="120"/>
        <w:ind w:left="432"/>
      </w:pPr>
      <w:r>
        <w:t>Use Sales on Size and Profit Ratio on Colour; fix any ambiguous geography.</w:t>
      </w:r>
    </w:p>
    <w:p>
      <w:pPr>
        <w:pStyle w:val="ListNumber"/>
      </w:pPr>
      <w:r>
        <w:rPr>
          <w:b/>
        </w:rPr>
        <w:t>Build Sales and Cost on a combined axis.</w:t>
      </w:r>
    </w:p>
    <w:p>
      <w:pPr>
        <w:spacing w:after="120"/>
        <w:ind w:left="432"/>
      </w:pPr>
      <w:r>
        <w:t>Use Measure Names/Values only because both measures share SGD units.</w:t>
      </w:r>
    </w:p>
    <w:p>
      <w:pPr>
        <w:pStyle w:val="ListNumber"/>
      </w:pPr>
      <w:r>
        <w:rPr>
          <w:b/>
        </w:rPr>
        <w:t>Build Sales vs Profit as a dual-axis view.</w:t>
      </w:r>
    </w:p>
    <w:p>
      <w:pPr>
        <w:spacing w:after="120"/>
        <w:ind w:left="432"/>
      </w:pPr>
      <w:r>
        <w:t>Use bars and a line, synchronise only if units and interpretation support it.</w:t>
      </w:r>
    </w:p>
    <w:p>
      <w:pPr>
        <w:pStyle w:val="ListNumber"/>
      </w:pPr>
      <w:r>
        <w:rPr>
          <w:b/>
        </w:rPr>
        <w:t>Build Category Mix as stacked bars.</w:t>
      </w:r>
    </w:p>
    <w:p>
      <w:pPr>
        <w:spacing w:after="120"/>
        <w:ind w:left="432"/>
      </w:pPr>
      <w:r>
        <w:t>Limit colours and compare both total and composition.</w:t>
      </w:r>
    </w:p>
    <w:p>
      <w:pPr>
        <w:pStyle w:val="ListNumber"/>
      </w:pPr>
      <w:r>
        <w:rPr>
          <w:b/>
        </w:rPr>
        <w:t>Build Order Density by Store Coordinates.</w:t>
      </w:r>
    </w:p>
    <w:p>
      <w:pPr>
        <w:spacing w:after="120"/>
        <w:ind w:left="432"/>
      </w:pPr>
      <w:r>
        <w:t>Use generated Latitude/Longitude or supplied coordinates and explain smoothing.</w:t>
      </w:r>
    </w:p>
    <w:p>
      <w:pPr>
        <w:pStyle w:val="ListNumber"/>
      </w:pPr>
      <w:r>
        <w:rPr>
          <w:b/>
        </w:rPr>
        <w:t>Build Region × Category as a highlight table.</w:t>
      </w:r>
    </w:p>
    <w:p>
      <w:pPr>
        <w:spacing w:after="120"/>
        <w:ind w:left="432"/>
      </w:pPr>
      <w:r>
        <w:t>Show exact Sales text with a sequential colour scale.</w:t>
      </w:r>
    </w:p>
    <w:p>
      <w:pPr>
        <w:pStyle w:val="ListNumber"/>
      </w:pPr>
      <w:r>
        <w:rPr>
          <w:b/>
        </w:rPr>
        <w:t>Complete the Chart Choice worksheet.</w:t>
      </w:r>
    </w:p>
    <w:p>
      <w:pPr>
        <w:spacing w:after="120"/>
        <w:ind w:left="432"/>
      </w:pPr>
      <w:r>
        <w:t>For each view state the business question, visual encoding and one limitation.</w:t>
      </w:r>
    </w:p>
    <w:p>
      <w:pPr>
        <w:pStyle w:val="ListNumber"/>
      </w:pPr>
      <w:r>
        <w:rPr>
          <w:b/>
        </w:rPr>
        <w:t>Save as Lab-04-Chart-Portfolio.twbx.</w:t>
      </w:r>
    </w:p>
    <w:p>
      <w:pPr>
        <w:spacing w:after="120"/>
        <w:ind w:left="432"/>
      </w:pPr>
      <w:r>
        <w:t>Export a contact sheet or screenshots of all nine views.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All nine chart types are present, each matches its stated question, axes and units are honest, maps resolve locations, and each view has a concise evidence-based insight.</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05 — Create Groups, Sets, Hierarchies and Filters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HarbourLife Insurance needs a reusable segmentation view for advisers and portfolio managers.</w:t>
            </w:r>
          </w:p>
        </w:tc>
      </w:tr>
      <w:tr>
        <w:tc>
          <w:tcPr>
            <w:tcW w:type="dxa" w:w="4320"/>
            <w:shd w:val="clear" w:color="auto" w:fill="E8F0FE"/>
          </w:tcPr>
          <w:p>
            <w:r>
              <w:rPr>
                <w:b/>
              </w:rPr>
              <w:t>Goal</w:t>
            </w:r>
          </w:p>
        </w:tc>
        <w:tc>
          <w:tcPr>
            <w:tcW w:type="dxa" w:w="4320"/>
          </w:tcPr>
          <w:p>
            <w:r>
              <w:t>Organise customer data and apply filters at the intended analytical stage</w:t>
            </w:r>
          </w:p>
        </w:tc>
      </w:tr>
      <w:tr>
        <w:tc>
          <w:tcPr>
            <w:tcW w:type="dxa" w:w="4320"/>
            <w:shd w:val="clear" w:color="auto" w:fill="E8F0FE"/>
          </w:tcPr>
          <w:p>
            <w:r>
              <w:rPr>
                <w:b/>
              </w:rPr>
              <w:t>You will produce</w:t>
            </w:r>
          </w:p>
        </w:tc>
        <w:tc>
          <w:tcPr>
            <w:tcW w:type="dxa" w:w="4320"/>
          </w:tcPr>
          <w:p>
            <w:r>
              <w:t>Customer tier groups, Top-N and threshold sets, drill hierarchy, context filter and relative date controls</w:t>
            </w:r>
          </w:p>
        </w:tc>
      </w:tr>
      <w:tr>
        <w:tc>
          <w:tcPr>
            <w:tcW w:type="dxa" w:w="4320"/>
            <w:shd w:val="clear" w:color="auto" w:fill="E8F0FE"/>
          </w:tcPr>
          <w:p>
            <w:r>
              <w:rPr>
                <w:b/>
              </w:rPr>
              <w:t>Tools</w:t>
            </w:r>
          </w:p>
        </w:tc>
        <w:tc>
          <w:tcPr>
            <w:tcW w:type="dxa" w:w="4320"/>
          </w:tcPr>
          <w:p>
            <w:r>
              <w:t>Tableau Desktop · groups · sets · hierarchy · context · date filters</w:t>
            </w:r>
          </w:p>
        </w:tc>
      </w:tr>
      <w:tr>
        <w:tc>
          <w:tcPr>
            <w:tcW w:type="dxa" w:w="4320"/>
            <w:shd w:val="clear" w:color="auto" w:fill="E8F0FE"/>
          </w:tcPr>
          <w:p>
            <w:r>
              <w:rPr>
                <w:b/>
              </w:rPr>
              <w:t>Folder</w:t>
            </w:r>
          </w:p>
        </w:tc>
        <w:tc>
          <w:tcPr>
            <w:tcW w:type="dxa" w:w="4320"/>
          </w:tcPr>
          <w:p>
            <w:r>
              <w:t>labs/lab-05-create-groups-sets-hierarchies-and-filters</w:t>
            </w:r>
          </w:p>
        </w:tc>
      </w:tr>
      <w:tr>
        <w:tc>
          <w:tcPr>
            <w:tcW w:type="dxa" w:w="4320"/>
            <w:shd w:val="clear" w:color="auto" w:fill="E8F0FE"/>
          </w:tcPr>
          <w:p>
            <w:r>
              <w:rPr>
                <w:b/>
              </w:rPr>
              <w:t>Excel workbook</w:t>
            </w:r>
          </w:p>
        </w:tc>
        <w:tc>
          <w:tcPr>
            <w:tcW w:type="dxa" w:w="4320"/>
          </w:tcPr>
          <w:p>
            <w:r>
              <w:t>Lab-05-HarbourLife-Customer-Segmentation.xlsx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Lab-05-HarbourLife-Customer-Segmentation.xlsx.</w:t>
      </w:r>
    </w:p>
    <w:p>
      <w:pPr>
        <w:spacing w:after="120"/>
        <w:ind w:left="432"/>
      </w:pPr>
      <w:r>
        <w:t>Validate policy count, premium and claim totals.</w:t>
      </w:r>
    </w:p>
    <w:p>
      <w:pPr>
        <w:pStyle w:val="ListNumber"/>
      </w:pPr>
      <w:r>
        <w:rPr>
          <w:b/>
        </w:rPr>
        <w:t>Create a Customer Tier group.</w:t>
      </w:r>
    </w:p>
    <w:p>
      <w:pPr>
        <w:spacing w:after="120"/>
        <w:ind w:left="432"/>
      </w:pPr>
      <w:r>
        <w:t>Combine micro and small-business codes into Emerging; keep Enterprise and Strategic separate.</w:t>
      </w:r>
    </w:p>
    <w:p>
      <w:pPr>
        <w:pStyle w:val="ListNumber"/>
      </w:pPr>
      <w:r>
        <w:rPr>
          <w:b/>
        </w:rPr>
        <w:t>Create a Top 20 Customers set by SUM(Annual Premium).</w:t>
      </w:r>
    </w:p>
    <w:p>
      <w:pPr>
        <w:spacing w:after="120"/>
        <w:ind w:left="432"/>
      </w:pPr>
      <w:r>
        <w:t>Show IN/OUT instead of filtering it away.</w:t>
      </w:r>
    </w:p>
    <w:p>
      <w:pPr>
        <w:pStyle w:val="ListNumber"/>
      </w:pPr>
      <w:r>
        <w:rPr>
          <w:b/>
        </w:rPr>
        <w:t>Create a High Claims set.</w:t>
      </w:r>
    </w:p>
    <w:p>
      <w:pPr>
        <w:spacing w:after="120"/>
        <w:ind w:left="432"/>
      </w:pPr>
      <w:r>
        <w:t>Use Claims Paid greater than the threshold documented on the Control sheet.</w:t>
      </w:r>
    </w:p>
    <w:p>
      <w:pPr>
        <w:pStyle w:val="ListNumber"/>
      </w:pPr>
      <w:r>
        <w:rPr>
          <w:b/>
        </w:rPr>
        <w:t>Create a combined Risk Attention set.</w:t>
      </w:r>
    </w:p>
    <w:p>
      <w:pPr>
        <w:spacing w:after="120"/>
        <w:ind w:left="432"/>
      </w:pPr>
      <w:r>
        <w:t>Combine Top Customers and High Claims to identify commercially material risk.</w:t>
      </w:r>
    </w:p>
    <w:p>
      <w:pPr>
        <w:pStyle w:val="ListNumber"/>
      </w:pPr>
      <w:r>
        <w:rPr>
          <w:b/>
        </w:rPr>
        <w:t>Build the Geography hierarchy.</w:t>
      </w:r>
    </w:p>
    <w:p>
      <w:pPr>
        <w:spacing w:after="120"/>
        <w:ind w:left="432"/>
      </w:pPr>
      <w:r>
        <w:t>Region &gt; Country &gt; City, then test expand/collapse.</w:t>
      </w:r>
    </w:p>
    <w:p>
      <w:pPr>
        <w:pStyle w:val="ListNumber"/>
      </w:pPr>
      <w:r>
        <w:rPr>
          <w:b/>
        </w:rPr>
        <w:t>Build the Product hierarchy.</w:t>
      </w:r>
    </w:p>
    <w:p>
      <w:pPr>
        <w:spacing w:after="120"/>
        <w:ind w:left="432"/>
      </w:pPr>
      <w:r>
        <w:t>Product Family &gt; Product Plan.</w:t>
      </w:r>
    </w:p>
    <w:p>
      <w:pPr>
        <w:pStyle w:val="ListNumber"/>
      </w:pPr>
      <w:r>
        <w:rPr>
          <w:b/>
        </w:rPr>
        <w:t>Add an Active Policy filter.</w:t>
      </w:r>
    </w:p>
    <w:p>
      <w:pPr>
        <w:spacing w:after="120"/>
        <w:ind w:left="432"/>
      </w:pPr>
      <w:r>
        <w:t>Keep policies active as of the workbook's stated reporting date.</w:t>
      </w:r>
    </w:p>
    <w:p>
      <w:pPr>
        <w:pStyle w:val="ListNumber"/>
      </w:pPr>
      <w:r>
        <w:rPr>
          <w:b/>
        </w:rPr>
        <w:t>Add a relative Renewal Date filter.</w:t>
      </w:r>
    </w:p>
    <w:p>
      <w:pPr>
        <w:spacing w:after="120"/>
        <w:ind w:left="432"/>
      </w:pPr>
      <w:r>
        <w:t>Show renewals in the next 90 days.</w:t>
      </w:r>
    </w:p>
    <w:p>
      <w:pPr>
        <w:pStyle w:val="ListNumber"/>
      </w:pPr>
      <w:r>
        <w:rPr>
          <w:b/>
        </w:rPr>
        <w:t>Make Region a context filter.</w:t>
      </w:r>
    </w:p>
    <w:p>
      <w:pPr>
        <w:spacing w:after="120"/>
        <w:ind w:left="432"/>
      </w:pPr>
      <w:r>
        <w:t>Observe how it changes the Top 20 set result and explain order of operations.</w:t>
      </w:r>
    </w:p>
    <w:p>
      <w:pPr>
        <w:pStyle w:val="ListNumber"/>
      </w:pPr>
      <w:r>
        <w:rPr>
          <w:b/>
        </w:rPr>
        <w:t>Create an Adviser Worklist dashboard sheet.</w:t>
      </w:r>
    </w:p>
    <w:p>
      <w:pPr>
        <w:spacing w:after="120"/>
        <w:ind w:left="432"/>
      </w:pPr>
      <w:r>
        <w:t>Expose only purposeful filters and show set membership.</w:t>
      </w:r>
    </w:p>
    <w:p>
      <w:pPr>
        <w:pStyle w:val="ListNumber"/>
      </w:pPr>
      <w:r>
        <w:rPr>
          <w:b/>
        </w:rPr>
        <w:t>Save as Lab-05-Segmentation.twbx.</w:t>
      </w:r>
    </w:p>
    <w:p>
      <w:pPr>
        <w:spacing w:after="120"/>
        <w:ind w:left="432"/>
      </w:pPr>
      <w:r>
        <w:t>Document one case where a group, set and filter would produce different outcomes.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two hierarchies drill correctly, sets produce expected membership, relative dates use the reporting date, and the learner can explain how context changes Top-N evaluation.</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06 — Apply Calculations, Table Calculations and Parameters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Crescent Hospitality wants profitability, occupancy and performance trends with user-controlled thresholds.</w:t>
            </w:r>
          </w:p>
        </w:tc>
      </w:tr>
      <w:tr>
        <w:tc>
          <w:tcPr>
            <w:tcW w:type="dxa" w:w="4320"/>
            <w:shd w:val="clear" w:color="auto" w:fill="E8F0FE"/>
          </w:tcPr>
          <w:p>
            <w:r>
              <w:rPr>
                <w:b/>
              </w:rPr>
              <w:t>Goal</w:t>
            </w:r>
          </w:p>
        </w:tc>
        <w:tc>
          <w:tcPr>
            <w:tcW w:type="dxa" w:w="4320"/>
          </w:tcPr>
          <w:p>
            <w:r>
              <w:t>Create reliable row-level, aggregate and view-dependent analytics</w:t>
            </w:r>
          </w:p>
        </w:tc>
      </w:tr>
      <w:tr>
        <w:tc>
          <w:tcPr>
            <w:tcW w:type="dxa" w:w="4320"/>
            <w:shd w:val="clear" w:color="auto" w:fill="E8F0FE"/>
          </w:tcPr>
          <w:p>
            <w:r>
              <w:rPr>
                <w:b/>
              </w:rPr>
              <w:t>You will produce</w:t>
            </w:r>
          </w:p>
        </w:tc>
        <w:tc>
          <w:tcPr>
            <w:tcW w:type="dxa" w:w="4320"/>
          </w:tcPr>
          <w:p>
            <w:r>
              <w:t>Calculated KPIs, running totals, percent-of-total, moving average, reference line and parameter-driven measure swap</w:t>
            </w:r>
          </w:p>
        </w:tc>
      </w:tr>
      <w:tr>
        <w:tc>
          <w:tcPr>
            <w:tcW w:type="dxa" w:w="4320"/>
            <w:shd w:val="clear" w:color="auto" w:fill="E8F0FE"/>
          </w:tcPr>
          <w:p>
            <w:r>
              <w:rPr>
                <w:b/>
              </w:rPr>
              <w:t>Tools</w:t>
            </w:r>
          </w:p>
        </w:tc>
        <w:tc>
          <w:tcPr>
            <w:tcW w:type="dxa" w:w="4320"/>
          </w:tcPr>
          <w:p>
            <w:r>
              <w:t>Tableau Desktop · calculated fields · table calculations · parameters · reference lines · totals</w:t>
            </w:r>
          </w:p>
        </w:tc>
      </w:tr>
      <w:tr>
        <w:tc>
          <w:tcPr>
            <w:tcW w:type="dxa" w:w="4320"/>
            <w:shd w:val="clear" w:color="auto" w:fill="E8F0FE"/>
          </w:tcPr>
          <w:p>
            <w:r>
              <w:rPr>
                <w:b/>
              </w:rPr>
              <w:t>Folder</w:t>
            </w:r>
          </w:p>
        </w:tc>
        <w:tc>
          <w:tcPr>
            <w:tcW w:type="dxa" w:w="4320"/>
          </w:tcPr>
          <w:p>
            <w:r>
              <w:t>labs/lab-06-apply-calculations-table-calculations-and-parameters</w:t>
            </w:r>
          </w:p>
        </w:tc>
      </w:tr>
      <w:tr>
        <w:tc>
          <w:tcPr>
            <w:tcW w:type="dxa" w:w="4320"/>
            <w:shd w:val="clear" w:color="auto" w:fill="E8F0FE"/>
          </w:tcPr>
          <w:p>
            <w:r>
              <w:rPr>
                <w:b/>
              </w:rPr>
              <w:t>Excel workbook</w:t>
            </w:r>
          </w:p>
        </w:tc>
        <w:tc>
          <w:tcPr>
            <w:tcW w:type="dxa" w:w="4320"/>
          </w:tcPr>
          <w:p>
            <w:r>
              <w:t>Lab-06-Crescent-Hospitality-Analytics.xlsx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Connect to Lab-06-Crescent-Hospitality-Analytics.xlsx.</w:t>
      </w:r>
    </w:p>
    <w:p>
      <w:pPr>
        <w:spacing w:after="120"/>
        <w:ind w:left="432"/>
      </w:pPr>
      <w:r>
        <w:t>Use the Daily Performance sheet and inspect KPI definitions.</w:t>
      </w:r>
    </w:p>
    <w:p>
      <w:pPr>
        <w:pStyle w:val="ListNumber"/>
      </w:pPr>
      <w:r>
        <w:rPr>
          <w:b/>
        </w:rPr>
        <w:t>Create Gross Profit.</w:t>
      </w:r>
    </w:p>
    <w:p>
      <w:pPr>
        <w:spacing w:after="120"/>
        <w:ind w:left="432"/>
      </w:pPr>
      <w:r>
        <w:t>SUM([Room Revenue]) + SUM([F&amp;B Revenue]) - SUM([Operating Cost]).</w:t>
      </w:r>
    </w:p>
    <w:p>
      <w:pPr>
        <w:pStyle w:val="ListNumber"/>
      </w:pPr>
      <w:r>
        <w:rPr>
          <w:b/>
        </w:rPr>
        <w:t>Create Occupancy Rate.</w:t>
      </w:r>
    </w:p>
    <w:p>
      <w:pPr>
        <w:spacing w:after="120"/>
        <w:ind w:left="432"/>
      </w:pPr>
      <w:r>
        <w:t>SUM([Rooms Sold]) / SUM([Rooms Available]); format as percentage.</w:t>
      </w:r>
    </w:p>
    <w:p>
      <w:pPr>
        <w:pStyle w:val="ListNumber"/>
      </w:pPr>
      <w:r>
        <w:rPr>
          <w:b/>
        </w:rPr>
        <w:t>Create RevPAR.</w:t>
      </w:r>
    </w:p>
    <w:p>
      <w:pPr>
        <w:spacing w:after="120"/>
        <w:ind w:left="432"/>
      </w:pPr>
      <w:r>
        <w:t>SUM([Room Revenue]) / SUM([Rooms Available]); verify its aggregation grain.</w:t>
      </w:r>
    </w:p>
    <w:p>
      <w:pPr>
        <w:pStyle w:val="ListNumber"/>
      </w:pPr>
      <w:r>
        <w:rPr>
          <w:b/>
        </w:rPr>
        <w:t>Create Performance Band.</w:t>
      </w:r>
    </w:p>
    <w:p>
      <w:pPr>
        <w:spacing w:after="120"/>
        <w:ind w:left="432"/>
      </w:pPr>
      <w:r>
        <w:t>Use an IF/ELSEIF rule based on Occupancy Rate and Gross Profit.</w:t>
      </w:r>
    </w:p>
    <w:p>
      <w:pPr>
        <w:pStyle w:val="ListNumber"/>
      </w:pPr>
      <w:r>
        <w:rPr>
          <w:b/>
        </w:rPr>
        <w:t>Build a monthly running revenue total.</w:t>
      </w:r>
    </w:p>
    <w:p>
      <w:pPr>
        <w:spacing w:after="120"/>
        <w:ind w:left="432"/>
      </w:pPr>
      <w:r>
        <w:t>Set Compute Using to Month and partition by Hotel.</w:t>
      </w:r>
    </w:p>
    <w:p>
      <w:pPr>
        <w:pStyle w:val="ListNumber"/>
      </w:pPr>
      <w:r>
        <w:rPr>
          <w:b/>
        </w:rPr>
        <w:t>Build each hotel's percent of regional revenue.</w:t>
      </w:r>
    </w:p>
    <w:p>
      <w:pPr>
        <w:spacing w:after="120"/>
        <w:ind w:left="432"/>
      </w:pPr>
      <w:r>
        <w:t>Validate addressing and partitioning after rearranging the view.</w:t>
      </w:r>
    </w:p>
    <w:p>
      <w:pPr>
        <w:pStyle w:val="ListNumber"/>
      </w:pPr>
      <w:r>
        <w:rPr>
          <w:b/>
        </w:rPr>
        <w:t>Add a 3-month moving average.</w:t>
      </w:r>
    </w:p>
    <w:p>
      <w:pPr>
        <w:spacing w:after="120"/>
        <w:ind w:left="432"/>
      </w:pPr>
      <w:r>
        <w:t>Explain the null edge at the start of each partition.</w:t>
      </w:r>
    </w:p>
    <w:p>
      <w:pPr>
        <w:pStyle w:val="ListNumber"/>
      </w:pPr>
      <w:r>
        <w:rPr>
          <w:b/>
        </w:rPr>
        <w:t>Create a KPI Selector parameter.</w:t>
      </w:r>
    </w:p>
    <w:p>
      <w:pPr>
        <w:spacing w:after="120"/>
        <w:ind w:left="432"/>
      </w:pPr>
      <w:r>
        <w:t>Allow Room Revenue, Gross Profit, Occupancy and RevPAR.</w:t>
      </w:r>
    </w:p>
    <w:p>
      <w:pPr>
        <w:pStyle w:val="ListNumber"/>
      </w:pPr>
      <w:r>
        <w:rPr>
          <w:b/>
        </w:rPr>
        <w:t>Create a Selected KPI calculation.</w:t>
      </w:r>
    </w:p>
    <w:p>
      <w:pPr>
        <w:spacing w:after="120"/>
        <w:ind w:left="432"/>
      </w:pPr>
      <w:r>
        <w:t>Return the chosen measure with consistent aggregation.</w:t>
      </w:r>
    </w:p>
    <w:p>
      <w:pPr>
        <w:pStyle w:val="ListNumber"/>
      </w:pPr>
      <w:r>
        <w:rPr>
          <w:b/>
        </w:rPr>
        <w:t>Add a parameter-driven target reference line.</w:t>
      </w:r>
    </w:p>
    <w:p>
      <w:pPr>
        <w:spacing w:after="120"/>
        <w:ind w:left="432"/>
      </w:pPr>
      <w:r>
        <w:t>Use a separate numeric Target parameter.</w:t>
      </w:r>
    </w:p>
    <w:p>
      <w:pPr>
        <w:pStyle w:val="ListNumber"/>
      </w:pPr>
      <w:r>
        <w:rPr>
          <w:b/>
        </w:rPr>
        <w:t>Display totals and audit them.</w:t>
      </w:r>
    </w:p>
    <w:p>
      <w:pPr>
        <w:spacing w:after="120"/>
        <w:ind w:left="432"/>
      </w:pPr>
      <w:r>
        <w:t>Explain why averaging daily percentages differs from a ratio of summed numerators/denominators.</w:t>
      </w:r>
    </w:p>
    <w:p>
      <w:pPr>
        <w:pStyle w:val="ListNumber"/>
      </w:pPr>
      <w:r>
        <w:rPr>
          <w:b/>
        </w:rPr>
        <w:t>Save as Lab-06-Advanced-Analytics.twbx.</w:t>
      </w:r>
    </w:p>
    <w:p>
      <w:pPr>
        <w:spacing w:after="120"/>
        <w:ind w:left="432"/>
      </w:pPr>
      <w:r>
        <w:t>Capture the parameter states and table-calculation settings.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Calculations match the Control sheet, table calculations keep intended addressing/partitioning, parameters affect the view, and totals use mathematically valid logic.</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07 — Analyse Southeast Asia Logistics Geographically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Meridian Logistics wants to compare shipment volume, delay rates and port congestion across Southeast Asia.</w:t>
            </w:r>
          </w:p>
        </w:tc>
      </w:tr>
      <w:tr>
        <w:tc>
          <w:tcPr>
            <w:tcW w:type="dxa" w:w="4320"/>
            <w:shd w:val="clear" w:color="auto" w:fill="E8F0FE"/>
          </w:tcPr>
          <w:p>
            <w:r>
              <w:rPr>
                <w:b/>
              </w:rPr>
              <w:t>Goal</w:t>
            </w:r>
          </w:p>
        </w:tc>
        <w:tc>
          <w:tcPr>
            <w:tcW w:type="dxa" w:w="4320"/>
          </w:tcPr>
          <w:p>
            <w:r>
              <w:t>Create symbol, filled and density maps with trustworthy geographic context</w:t>
            </w:r>
          </w:p>
        </w:tc>
      </w:tr>
      <w:tr>
        <w:tc>
          <w:tcPr>
            <w:tcW w:type="dxa" w:w="4320"/>
            <w:shd w:val="clear" w:color="auto" w:fill="E8F0FE"/>
          </w:tcPr>
          <w:p>
            <w:r>
              <w:rPr>
                <w:b/>
              </w:rPr>
              <w:t>You will produce</w:t>
            </w:r>
          </w:p>
        </w:tc>
        <w:tc>
          <w:tcPr>
            <w:tcW w:type="dxa" w:w="4320"/>
          </w:tcPr>
          <w:p>
            <w:r>
              <w:t>Resolved geographic roles, three map types, tooltip context and a map-vs-bar decision note</w:t>
            </w:r>
          </w:p>
        </w:tc>
      </w:tr>
      <w:tr>
        <w:tc>
          <w:tcPr>
            <w:tcW w:type="dxa" w:w="4320"/>
            <w:shd w:val="clear" w:color="auto" w:fill="E8F0FE"/>
          </w:tcPr>
          <w:p>
            <w:r>
              <w:rPr>
                <w:b/>
              </w:rPr>
              <w:t>Tools</w:t>
            </w:r>
          </w:p>
        </w:tc>
        <w:tc>
          <w:tcPr>
            <w:tcW w:type="dxa" w:w="4320"/>
          </w:tcPr>
          <w:p>
            <w:r>
              <w:t>Tableau Desktop · geographic roles · generated coordinates · density · tooltips</w:t>
            </w:r>
          </w:p>
        </w:tc>
      </w:tr>
      <w:tr>
        <w:tc>
          <w:tcPr>
            <w:tcW w:type="dxa" w:w="4320"/>
            <w:shd w:val="clear" w:color="auto" w:fill="E8F0FE"/>
          </w:tcPr>
          <w:p>
            <w:r>
              <w:rPr>
                <w:b/>
              </w:rPr>
              <w:t>Folder</w:t>
            </w:r>
          </w:p>
        </w:tc>
        <w:tc>
          <w:tcPr>
            <w:tcW w:type="dxa" w:w="4320"/>
          </w:tcPr>
          <w:p>
            <w:r>
              <w:t>labs/lab-07-analyse-southeast-asia-logistics-geographically</w:t>
            </w:r>
          </w:p>
        </w:tc>
      </w:tr>
      <w:tr>
        <w:tc>
          <w:tcPr>
            <w:tcW w:type="dxa" w:w="4320"/>
            <w:shd w:val="clear" w:color="auto" w:fill="E8F0FE"/>
          </w:tcPr>
          <w:p>
            <w:r>
              <w:rPr>
                <w:b/>
              </w:rPr>
              <w:t>Excel workbook</w:t>
            </w:r>
          </w:p>
        </w:tc>
        <w:tc>
          <w:tcPr>
            <w:tcW w:type="dxa" w:w="4320"/>
          </w:tcPr>
          <w:p>
            <w:r>
              <w:t>Lab-07-Meridian-SEA-Logistics.xlsx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Lab-07-Meridian-SEA-Logistics.xlsx.</w:t>
      </w:r>
    </w:p>
    <w:p>
      <w:pPr>
        <w:spacing w:after="120"/>
        <w:ind w:left="432"/>
      </w:pPr>
      <w:r>
        <w:t>Review Shipments and Location Reference sheets.</w:t>
      </w:r>
    </w:p>
    <w:p>
      <w:pPr>
        <w:pStyle w:val="ListNumber"/>
      </w:pPr>
      <w:r>
        <w:rPr>
          <w:b/>
        </w:rPr>
        <w:t>Assign geographic roles.</w:t>
      </w:r>
    </w:p>
    <w:p>
      <w:pPr>
        <w:spacing w:after="120"/>
        <w:ind w:left="432"/>
      </w:pPr>
      <w:r>
        <w:t>Country, State/Province and City must resolve within Southeast Asia.</w:t>
      </w:r>
    </w:p>
    <w:p>
      <w:pPr>
        <w:pStyle w:val="ListNumber"/>
      </w:pPr>
      <w:r>
        <w:rPr>
          <w:b/>
        </w:rPr>
        <w:t>Use supplied Latitude/Longitude for ports where geocoding is ambiguous.</w:t>
      </w:r>
    </w:p>
    <w:p>
      <w:pPr>
        <w:spacing w:after="120"/>
        <w:ind w:left="432"/>
      </w:pPr>
      <w:r>
        <w:t>Treat them as geographic measures.</w:t>
      </w:r>
    </w:p>
    <w:p>
      <w:pPr>
        <w:pStyle w:val="ListNumber"/>
      </w:pPr>
      <w:r>
        <w:rPr>
          <w:b/>
        </w:rPr>
        <w:t>Build Port Shipment Volume as a symbol map.</w:t>
      </w:r>
    </w:p>
    <w:p>
      <w:pPr>
        <w:spacing w:after="120"/>
        <w:ind w:left="432"/>
      </w:pPr>
      <w:r>
        <w:t>Use Shipment Count on Size and Delay Rate on Colour.</w:t>
      </w:r>
    </w:p>
    <w:p>
      <w:pPr>
        <w:pStyle w:val="ListNumber"/>
      </w:pPr>
      <w:r>
        <w:rPr>
          <w:b/>
        </w:rPr>
        <w:t>Build Country On-Time Performance as a filled map.</w:t>
      </w:r>
    </w:p>
    <w:p>
      <w:pPr>
        <w:spacing w:after="120"/>
        <w:ind w:left="432"/>
      </w:pPr>
      <w:r>
        <w:t>Use a diverging scale centred on the target.</w:t>
      </w:r>
    </w:p>
    <w:p>
      <w:pPr>
        <w:pStyle w:val="ListNumber"/>
      </w:pPr>
      <w:r>
        <w:rPr>
          <w:b/>
        </w:rPr>
        <w:t>Build Congestion Hotspots as a density map.</w:t>
      </w:r>
    </w:p>
    <w:p>
      <w:pPr>
        <w:spacing w:after="120"/>
        <w:ind w:left="432"/>
      </w:pPr>
      <w:r>
        <w:t>Weight by Delayed Shipments and state the smoothing implication.</w:t>
      </w:r>
    </w:p>
    <w:p>
      <w:pPr>
        <w:pStyle w:val="ListNumber"/>
      </w:pPr>
      <w:r>
        <w:rPr>
          <w:b/>
        </w:rPr>
        <w:t>Create a Port Type shape map.</w:t>
      </w:r>
    </w:p>
    <w:p>
      <w:pPr>
        <w:spacing w:after="120"/>
        <w:ind w:left="432"/>
      </w:pPr>
      <w:r>
        <w:t>Use a small distinguishable shape set and keep a legend.</w:t>
      </w:r>
    </w:p>
    <w:p>
      <w:pPr>
        <w:pStyle w:val="ListNumber"/>
      </w:pPr>
      <w:r>
        <w:rPr>
          <w:b/>
        </w:rPr>
        <w:t>Add informative tooltips.</w:t>
      </w:r>
    </w:p>
    <w:p>
      <w:pPr>
        <w:spacing w:after="120"/>
        <w:ind w:left="432"/>
      </w:pPr>
      <w:r>
        <w:t>Show Port, Country, Shipments, On-Time %, Avg Delay Hours and reporting period.</w:t>
      </w:r>
    </w:p>
    <w:p>
      <w:pPr>
        <w:pStyle w:val="ListNumber"/>
      </w:pPr>
      <w:r>
        <w:rPr>
          <w:b/>
        </w:rPr>
        <w:t>Resolve unknown locations.</w:t>
      </w:r>
    </w:p>
    <w:p>
      <w:pPr>
        <w:spacing w:after="120"/>
        <w:ind w:left="432"/>
      </w:pPr>
      <w:r>
        <w:t>Use Edit Locations and document the correction.</w:t>
      </w:r>
    </w:p>
    <w:p>
      <w:pPr>
        <w:pStyle w:val="ListNumber"/>
      </w:pPr>
      <w:r>
        <w:rPr>
          <w:b/>
        </w:rPr>
        <w:t>Create a ranked bar alternative.</w:t>
      </w:r>
    </w:p>
    <w:p>
      <w:pPr>
        <w:spacing w:after="120"/>
        <w:ind w:left="432"/>
      </w:pPr>
      <w:r>
        <w:t>Compare accuracy and purpose with the filled map.</w:t>
      </w:r>
    </w:p>
    <w:p>
      <w:pPr>
        <w:pStyle w:val="ListNumber"/>
      </w:pPr>
      <w:r>
        <w:rPr>
          <w:b/>
        </w:rPr>
        <w:t>Write one spatial insight and one limitation.</w:t>
      </w:r>
    </w:p>
    <w:p>
      <w:pPr>
        <w:spacing w:after="120"/>
        <w:ind w:left="432"/>
      </w:pPr>
      <w:r>
        <w:t>Base both on visible evidence.</w:t>
      </w:r>
    </w:p>
    <w:p>
      <w:pPr>
        <w:pStyle w:val="ListNumber"/>
      </w:pPr>
      <w:r>
        <w:rPr>
          <w:b/>
        </w:rPr>
        <w:t>Save as Lab-07-Geographic-Analysis.twbx.</w:t>
      </w:r>
    </w:p>
    <w:p>
      <w:pPr>
        <w:spacing w:after="120"/>
        <w:ind w:left="432"/>
      </w:pPr>
      <w:r>
        <w:t>Export all maps and the bar comparison.</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Locations resolve correctly, map types match the questions, tooltips carry operational context, colour scales are meaningful, and the learner can state when the bar chart is preferable.</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Topic 03 — Sharing Insights with Dashboards and Workbooks (25%)</w:t>
      </w:r>
    </w:p>
    <w:p>
      <w:r>
        <w:t>Formatting · dashboards · actions · device layouts · stories · export · publish</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Format for meaning</w:t>
            </w:r>
          </w:p>
        </w:tc>
        <w:tc>
          <w:tcPr>
            <w:tcW w:type="dxa" w:w="4320"/>
          </w:tcPr>
          <w:p>
            <w:r>
              <w:t>Colour, type, shape, size and animation communicate data, not decoration.</w:t>
            </w:r>
          </w:p>
        </w:tc>
      </w:tr>
      <w:tr>
        <w:tc>
          <w:tcPr>
            <w:tcW w:type="dxa" w:w="4320"/>
          </w:tcPr>
          <w:p>
            <w:r>
              <w:rPr>
                <w:b/>
              </w:rPr>
              <w:t>Design interaction</w:t>
            </w:r>
          </w:p>
        </w:tc>
        <w:tc>
          <w:tcPr>
            <w:tcW w:type="dxa" w:w="4320"/>
          </w:tcPr>
          <w:p>
            <w:r>
              <w:t>Filters, highlighters, tooltips and actions answer predictable questions.</w:t>
            </w:r>
          </w:p>
        </w:tc>
      </w:tr>
      <w:tr>
        <w:tc>
          <w:tcPr>
            <w:tcW w:type="dxa" w:w="4320"/>
          </w:tcPr>
          <w:p>
            <w:r>
              <w:rPr>
                <w:b/>
              </w:rPr>
              <w:t>Layout is a system</w:t>
            </w:r>
          </w:p>
        </w:tc>
        <w:tc>
          <w:tcPr>
            <w:tcW w:type="dxa" w:w="4320"/>
          </w:tcPr>
          <w:p>
            <w:r>
              <w:t>Containers, hierarchy and device layouts govern alignment and reading order.</w:t>
            </w:r>
          </w:p>
        </w:tc>
      </w:tr>
      <w:tr>
        <w:tc>
          <w:tcPr>
            <w:tcW w:type="dxa" w:w="4320"/>
          </w:tcPr>
          <w:p>
            <w:r>
              <w:rPr>
                <w:b/>
              </w:rPr>
              <w:t>Share with intent</w:t>
            </w:r>
          </w:p>
        </w:tc>
        <w:tc>
          <w:tcPr>
            <w:tcW w:type="dxa" w:w="4320"/>
          </w:tcPr>
          <w:p>
            <w:r>
              <w:t>Package, publish or export while protecting sensitive detail.</w:t>
            </w:r>
          </w:p>
        </w:tc>
      </w:tr>
    </w:tbl>
    <w:p>
      <w:pPr>
        <w:pStyle w:val="Heading2"/>
      </w:pPr>
      <w:r>
        <w:t>Format views for presentation</w:t>
      </w:r>
    </w:p>
    <w:p>
      <w:pPr>
        <w:pStyle w:val="Heading3"/>
      </w:pPr>
      <w:r>
        <w:t>3.1.1 — Use colour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Colour can encode category, magnitude or emphasis.</w:t>
            </w:r>
          </w:p>
        </w:tc>
      </w:tr>
      <w:tr>
        <w:tc>
          <w:tcPr>
            <w:tcW w:type="dxa" w:w="4320"/>
            <w:shd w:val="clear" w:color="auto" w:fill="E8F0FE"/>
          </w:tcPr>
          <w:p>
            <w:r>
              <w:rPr>
                <w:b/>
              </w:rPr>
              <w:t>Use when</w:t>
            </w:r>
          </w:p>
        </w:tc>
        <w:tc>
          <w:tcPr>
            <w:tcW w:type="dxa" w:w="4320"/>
          </w:tcPr>
          <w:p>
            <w:r>
              <w:t>Use hues for categories and ordered palettes for measures.</w:t>
            </w:r>
          </w:p>
        </w:tc>
      </w:tr>
      <w:tr>
        <w:tc>
          <w:tcPr>
            <w:tcW w:type="dxa" w:w="4320"/>
            <w:shd w:val="clear" w:color="auto" w:fill="E8F0FE"/>
          </w:tcPr>
          <w:p>
            <w:r>
              <w:rPr>
                <w:b/>
              </w:rPr>
              <w:t>Exam clue</w:t>
            </w:r>
          </w:p>
        </w:tc>
        <w:tc>
          <w:tcPr>
            <w:tcW w:type="dxa" w:w="4320"/>
          </w:tcPr>
          <w:p>
            <w:r>
              <w:t>Legend type reveals discrete or continuous encoding.</w:t>
            </w:r>
          </w:p>
        </w:tc>
      </w:tr>
      <w:tr>
        <w:tc>
          <w:tcPr>
            <w:tcW w:type="dxa" w:w="4320"/>
            <w:shd w:val="clear" w:color="auto" w:fill="E8F0FE"/>
          </w:tcPr>
          <w:p>
            <w:r>
              <w:rPr>
                <w:b/>
              </w:rPr>
              <w:t>Pitfall</w:t>
            </w:r>
          </w:p>
        </w:tc>
        <w:tc>
          <w:tcPr>
            <w:tcW w:type="dxa" w:w="4320"/>
          </w:tcPr>
          <w:p>
            <w:r>
              <w:t>Rainbow palettes and low contrast impair interpretation.</w:t>
            </w:r>
          </w:p>
        </w:tc>
      </w:tr>
    </w:tbl>
    <w:p>
      <w:pPr>
        <w:pStyle w:val="Heading3"/>
      </w:pPr>
      <w:r>
        <w:t>3.1.2 — Configure fonts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Typography establishes hierarchy across titles, labels and tooltips.</w:t>
            </w:r>
          </w:p>
        </w:tc>
      </w:tr>
      <w:tr>
        <w:tc>
          <w:tcPr>
            <w:tcW w:type="dxa" w:w="4320"/>
            <w:shd w:val="clear" w:color="auto" w:fill="E8F0FE"/>
          </w:tcPr>
          <w:p>
            <w:r>
              <w:rPr>
                <w:b/>
              </w:rPr>
              <w:t>Use when</w:t>
            </w:r>
          </w:p>
        </w:tc>
        <w:tc>
          <w:tcPr>
            <w:tcW w:type="dxa" w:w="4320"/>
          </w:tcPr>
          <w:p>
            <w:r>
              <w:t>Use consistent families and display-appropriate sizes.</w:t>
            </w:r>
          </w:p>
        </w:tc>
      </w:tr>
      <w:tr>
        <w:tc>
          <w:tcPr>
            <w:tcW w:type="dxa" w:w="4320"/>
            <w:shd w:val="clear" w:color="auto" w:fill="E8F0FE"/>
          </w:tcPr>
          <w:p>
            <w:r>
              <w:rPr>
                <w:b/>
              </w:rPr>
              <w:t>Exam clue</w:t>
            </w:r>
          </w:p>
        </w:tc>
        <w:tc>
          <w:tcPr>
            <w:tcW w:type="dxa" w:w="4320"/>
          </w:tcPr>
          <w:p>
            <w:r>
              <w:t>Formatting applies at workbook, sheet, pane or element scope.</w:t>
            </w:r>
          </w:p>
        </w:tc>
      </w:tr>
      <w:tr>
        <w:tc>
          <w:tcPr>
            <w:tcW w:type="dxa" w:w="4320"/>
            <w:shd w:val="clear" w:color="auto" w:fill="E8F0FE"/>
          </w:tcPr>
          <w:p>
            <w:r>
              <w:rPr>
                <w:b/>
              </w:rPr>
              <w:t>Pitfall</w:t>
            </w:r>
          </w:p>
        </w:tc>
        <w:tc>
          <w:tcPr>
            <w:tcW w:type="dxa" w:w="4320"/>
          </w:tcPr>
          <w:p>
            <w:r>
              <w:t>Tiny labels and excessive bolding reduce scanability.</w:t>
            </w:r>
          </w:p>
        </w:tc>
      </w:tr>
    </w:tbl>
    <w:p>
      <w:pPr>
        <w:pStyle w:val="Heading3"/>
      </w:pPr>
      <w:r>
        <w:t>3.1.3 — Format marks as shapes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Shape is a categorical channel for point marks.</w:t>
            </w:r>
          </w:p>
        </w:tc>
      </w:tr>
      <w:tr>
        <w:tc>
          <w:tcPr>
            <w:tcW w:type="dxa" w:w="4320"/>
            <w:shd w:val="clear" w:color="auto" w:fill="E8F0FE"/>
          </w:tcPr>
          <w:p>
            <w:r>
              <w:rPr>
                <w:b/>
              </w:rPr>
              <w:t>Use when</w:t>
            </w:r>
          </w:p>
        </w:tc>
        <w:tc>
          <w:tcPr>
            <w:tcW w:type="dxa" w:w="4320"/>
          </w:tcPr>
          <w:p>
            <w:r>
              <w:t>Use for a small number of distinguishable categories.</w:t>
            </w:r>
          </w:p>
        </w:tc>
      </w:tr>
      <w:tr>
        <w:tc>
          <w:tcPr>
            <w:tcW w:type="dxa" w:w="4320"/>
            <w:shd w:val="clear" w:color="auto" w:fill="E8F0FE"/>
          </w:tcPr>
          <w:p>
            <w:r>
              <w:rPr>
                <w:b/>
              </w:rPr>
              <w:t>Exam clue</w:t>
            </w:r>
          </w:p>
        </w:tc>
        <w:tc>
          <w:tcPr>
            <w:tcW w:type="dxa" w:w="4320"/>
          </w:tcPr>
          <w:p>
            <w:r>
              <w:t>Custom shapes can be loaded and assigned.</w:t>
            </w:r>
          </w:p>
        </w:tc>
      </w:tr>
      <w:tr>
        <w:tc>
          <w:tcPr>
            <w:tcW w:type="dxa" w:w="4320"/>
            <w:shd w:val="clear" w:color="auto" w:fill="E8F0FE"/>
          </w:tcPr>
          <w:p>
            <w:r>
              <w:rPr>
                <w:b/>
              </w:rPr>
              <w:t>Pitfall</w:t>
            </w:r>
          </w:p>
        </w:tc>
        <w:tc>
          <w:tcPr>
            <w:tcW w:type="dxa" w:w="4320"/>
          </w:tcPr>
          <w:p>
            <w:r>
              <w:t>Shape alone is weak for order and accessibility.</w:t>
            </w:r>
          </w:p>
        </w:tc>
      </w:tr>
    </w:tbl>
    <w:p>
      <w:pPr>
        <w:pStyle w:val="Heading3"/>
      </w:pPr>
      <w:r>
        <w:t>3.1.4 — Configure viz animations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Animations interpolate filter, sort and data changes.</w:t>
            </w:r>
          </w:p>
        </w:tc>
      </w:tr>
      <w:tr>
        <w:tc>
          <w:tcPr>
            <w:tcW w:type="dxa" w:w="4320"/>
            <w:shd w:val="clear" w:color="auto" w:fill="E8F0FE"/>
          </w:tcPr>
          <w:p>
            <w:r>
              <w:rPr>
                <w:b/>
              </w:rPr>
              <w:t>Use when</w:t>
            </w:r>
          </w:p>
        </w:tc>
        <w:tc>
          <w:tcPr>
            <w:tcW w:type="dxa" w:w="4320"/>
          </w:tcPr>
          <w:p>
            <w:r>
              <w:t>Use to help audiences track moving marks.</w:t>
            </w:r>
          </w:p>
        </w:tc>
      </w:tr>
      <w:tr>
        <w:tc>
          <w:tcPr>
            <w:tcW w:type="dxa" w:w="4320"/>
            <w:shd w:val="clear" w:color="auto" w:fill="E8F0FE"/>
          </w:tcPr>
          <w:p>
            <w:r>
              <w:rPr>
                <w:b/>
              </w:rPr>
              <w:t>Exam clue</w:t>
            </w:r>
          </w:p>
        </w:tc>
        <w:tc>
          <w:tcPr>
            <w:tcW w:type="dxa" w:w="4320"/>
          </w:tcPr>
          <w:p>
            <w:r>
              <w:t>Workbook formatting controls duration and style.</w:t>
            </w:r>
          </w:p>
        </w:tc>
      </w:tr>
      <w:tr>
        <w:tc>
          <w:tcPr>
            <w:tcW w:type="dxa" w:w="4320"/>
            <w:shd w:val="clear" w:color="auto" w:fill="E8F0FE"/>
          </w:tcPr>
          <w:p>
            <w:r>
              <w:rPr>
                <w:b/>
              </w:rPr>
              <w:t>Pitfall</w:t>
            </w:r>
          </w:p>
        </w:tc>
        <w:tc>
          <w:tcPr>
            <w:tcW w:type="dxa" w:w="4320"/>
          </w:tcPr>
          <w:p>
            <w:r>
              <w:t>Motion should not be required for understanding.</w:t>
            </w:r>
          </w:p>
        </w:tc>
      </w:tr>
    </w:tbl>
    <w:p>
      <w:pPr>
        <w:pStyle w:val="Heading3"/>
      </w:pPr>
      <w:r>
        <w:t>3.1.5 — Change mark size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Size can encode magnitude or improve legibility.</w:t>
            </w:r>
          </w:p>
        </w:tc>
      </w:tr>
      <w:tr>
        <w:tc>
          <w:tcPr>
            <w:tcW w:type="dxa" w:w="4320"/>
            <w:shd w:val="clear" w:color="auto" w:fill="E8F0FE"/>
          </w:tcPr>
          <w:p>
            <w:r>
              <w:rPr>
                <w:b/>
              </w:rPr>
              <w:t>Use when</w:t>
            </w:r>
          </w:p>
        </w:tc>
        <w:tc>
          <w:tcPr>
            <w:tcW w:type="dxa" w:w="4320"/>
          </w:tcPr>
          <w:p>
            <w:r>
              <w:t>Use measure-driven size for proportional symbols.</w:t>
            </w:r>
          </w:p>
        </w:tc>
      </w:tr>
      <w:tr>
        <w:tc>
          <w:tcPr>
            <w:tcW w:type="dxa" w:w="4320"/>
            <w:shd w:val="clear" w:color="auto" w:fill="E8F0FE"/>
          </w:tcPr>
          <w:p>
            <w:r>
              <w:rPr>
                <w:b/>
              </w:rPr>
              <w:t>Exam clue</w:t>
            </w:r>
          </w:p>
        </w:tc>
        <w:tc>
          <w:tcPr>
            <w:tcW w:type="dxa" w:w="4320"/>
          </w:tcPr>
          <w:p>
            <w:r>
              <w:t>Area, not radius, is perceived in circles.</w:t>
            </w:r>
          </w:p>
        </w:tc>
      </w:tr>
      <w:tr>
        <w:tc>
          <w:tcPr>
            <w:tcW w:type="dxa" w:w="4320"/>
            <w:shd w:val="clear" w:color="auto" w:fill="E8F0FE"/>
          </w:tcPr>
          <w:p>
            <w:r>
              <w:rPr>
                <w:b/>
              </w:rPr>
              <w:t>Pitfall</w:t>
            </w:r>
          </w:p>
        </w:tc>
        <w:tc>
          <w:tcPr>
            <w:tcW w:type="dxa" w:w="4320"/>
          </w:tcPr>
          <w:p>
            <w:r>
              <w:t>Large marks overlap and small marks disappear.</w:t>
            </w:r>
          </w:p>
        </w:tc>
      </w:tr>
    </w:tbl>
    <w:p>
      <w:pPr>
        <w:pStyle w:val="Heading3"/>
      </w:pPr>
      <w:r>
        <w:t>3.1.6 — Show and hide legends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Legends decode visual channels and can highlight marks.</w:t>
            </w:r>
          </w:p>
        </w:tc>
      </w:tr>
      <w:tr>
        <w:tc>
          <w:tcPr>
            <w:tcW w:type="dxa" w:w="4320"/>
            <w:shd w:val="clear" w:color="auto" w:fill="E8F0FE"/>
          </w:tcPr>
          <w:p>
            <w:r>
              <w:rPr>
                <w:b/>
              </w:rPr>
              <w:t>Use when</w:t>
            </w:r>
          </w:p>
        </w:tc>
        <w:tc>
          <w:tcPr>
            <w:tcW w:type="dxa" w:w="4320"/>
          </w:tcPr>
          <w:p>
            <w:r>
              <w:t>Show when encoding is not self-evident; hide redundant cards.</w:t>
            </w:r>
          </w:p>
        </w:tc>
      </w:tr>
      <w:tr>
        <w:tc>
          <w:tcPr>
            <w:tcW w:type="dxa" w:w="4320"/>
            <w:shd w:val="clear" w:color="auto" w:fill="E8F0FE"/>
          </w:tcPr>
          <w:p>
            <w:r>
              <w:rPr>
                <w:b/>
              </w:rPr>
              <w:t>Exam clue</w:t>
            </w:r>
          </w:p>
        </w:tc>
        <w:tc>
          <w:tcPr>
            <w:tcW w:type="dxa" w:w="4320"/>
          </w:tcPr>
          <w:p>
            <w:r>
              <w:t>Use the card menu or Analysis &gt; Legends.</w:t>
            </w:r>
          </w:p>
        </w:tc>
      </w:tr>
      <w:tr>
        <w:tc>
          <w:tcPr>
            <w:tcW w:type="dxa" w:w="4320"/>
            <w:shd w:val="clear" w:color="auto" w:fill="E8F0FE"/>
          </w:tcPr>
          <w:p>
            <w:r>
              <w:rPr>
                <w:b/>
              </w:rPr>
              <w:t>Pitfall</w:t>
            </w:r>
          </w:p>
        </w:tc>
        <w:tc>
          <w:tcPr>
            <w:tcW w:type="dxa" w:w="4320"/>
          </w:tcPr>
          <w:p>
            <w:r>
              <w:t>Removing a necessary legend makes marks ambiguous.</w:t>
            </w:r>
          </w:p>
        </w:tc>
      </w:tr>
    </w:tbl>
    <w:p>
      <w:pPr>
        <w:pStyle w:val="Heading2"/>
      </w:pPr>
      <w:r>
        <w:t>Create and modify a dashboard</w:t>
      </w:r>
    </w:p>
    <w:p>
      <w:pPr>
        <w:pStyle w:val="Heading3"/>
      </w:pPr>
      <w:r>
        <w:t>3.2.1 — Add worksheets to a dashboard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dashboard composes sheets and objects into one canvas.</w:t>
            </w:r>
          </w:p>
        </w:tc>
      </w:tr>
      <w:tr>
        <w:tc>
          <w:tcPr>
            <w:tcW w:type="dxa" w:w="4320"/>
            <w:shd w:val="clear" w:color="auto" w:fill="E8F0FE"/>
          </w:tcPr>
          <w:p>
            <w:r>
              <w:rPr>
                <w:b/>
              </w:rPr>
              <w:t>Use when</w:t>
            </w:r>
          </w:p>
        </w:tc>
        <w:tc>
          <w:tcPr>
            <w:tcW w:type="dxa" w:w="4320"/>
          </w:tcPr>
          <w:p>
            <w:r>
              <w:t>Create a clear hierarchy with the key view first.</w:t>
            </w:r>
          </w:p>
        </w:tc>
      </w:tr>
      <w:tr>
        <w:tc>
          <w:tcPr>
            <w:tcW w:type="dxa" w:w="4320"/>
            <w:shd w:val="clear" w:color="auto" w:fill="E8F0FE"/>
          </w:tcPr>
          <w:p>
            <w:r>
              <w:rPr>
                <w:b/>
              </w:rPr>
              <w:t>Exam clue</w:t>
            </w:r>
          </w:p>
        </w:tc>
        <w:tc>
          <w:tcPr>
            <w:tcW w:type="dxa" w:w="4320"/>
          </w:tcPr>
          <w:p>
            <w:r>
              <w:t>Tiled items join containers; floating items use absolute position.</w:t>
            </w:r>
          </w:p>
        </w:tc>
      </w:tr>
      <w:tr>
        <w:tc>
          <w:tcPr>
            <w:tcW w:type="dxa" w:w="4320"/>
            <w:shd w:val="clear" w:color="auto" w:fill="E8F0FE"/>
          </w:tcPr>
          <w:p>
            <w:r>
              <w:rPr>
                <w:b/>
              </w:rPr>
              <w:t>Pitfall</w:t>
            </w:r>
          </w:p>
        </w:tc>
        <w:tc>
          <w:tcPr>
            <w:tcW w:type="dxa" w:w="4320"/>
          </w:tcPr>
          <w:p>
            <w:r>
              <w:t>Adding every sheet creates noise.</w:t>
            </w:r>
          </w:p>
        </w:tc>
      </w:tr>
    </w:tbl>
    <w:p>
      <w:pPr>
        <w:pStyle w:val="Heading3"/>
      </w:pPr>
      <w:r>
        <w:t>3.2.2 — Add consumer interactions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Filters, highlighters, tooltips and navigation support exploration.</w:t>
            </w:r>
          </w:p>
        </w:tc>
      </w:tr>
      <w:tr>
        <w:tc>
          <w:tcPr>
            <w:tcW w:type="dxa" w:w="4320"/>
            <w:shd w:val="clear" w:color="auto" w:fill="E8F0FE"/>
          </w:tcPr>
          <w:p>
            <w:r>
              <w:rPr>
                <w:b/>
              </w:rPr>
              <w:t>Use when</w:t>
            </w:r>
          </w:p>
        </w:tc>
        <w:tc>
          <w:tcPr>
            <w:tcW w:type="dxa" w:w="4320"/>
          </w:tcPr>
          <w:p>
            <w:r>
              <w:t>Use controls that match likely questions and correct scope.</w:t>
            </w:r>
          </w:p>
        </w:tc>
      </w:tr>
      <w:tr>
        <w:tc>
          <w:tcPr>
            <w:tcW w:type="dxa" w:w="4320"/>
            <w:shd w:val="clear" w:color="auto" w:fill="E8F0FE"/>
          </w:tcPr>
          <w:p>
            <w:r>
              <w:rPr>
                <w:b/>
              </w:rPr>
              <w:t>Exam clue</w:t>
            </w:r>
          </w:p>
        </w:tc>
        <w:tc>
          <w:tcPr>
            <w:tcW w:type="dxa" w:w="4320"/>
          </w:tcPr>
          <w:p>
            <w:r>
              <w:t>Apply to Worksheets defines controlled sheets.</w:t>
            </w:r>
          </w:p>
        </w:tc>
      </w:tr>
      <w:tr>
        <w:tc>
          <w:tcPr>
            <w:tcW w:type="dxa" w:w="4320"/>
            <w:shd w:val="clear" w:color="auto" w:fill="E8F0FE"/>
          </w:tcPr>
          <w:p>
            <w:r>
              <w:rPr>
                <w:b/>
              </w:rPr>
              <w:t>Pitfall</w:t>
            </w:r>
          </w:p>
        </w:tc>
        <w:tc>
          <w:tcPr>
            <w:tcW w:type="dxa" w:w="4320"/>
          </w:tcPr>
          <w:p>
            <w:r>
              <w:t>Too many controls create contradictory states.</w:t>
            </w:r>
          </w:p>
        </w:tc>
      </w:tr>
    </w:tbl>
    <w:p>
      <w:pPr>
        <w:pStyle w:val="Heading3"/>
      </w:pPr>
      <w:r>
        <w:t>3.2.3 — Add dashboard actions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Actions respond to select, hover or menu events.</w:t>
            </w:r>
          </w:p>
        </w:tc>
      </w:tr>
      <w:tr>
        <w:tc>
          <w:tcPr>
            <w:tcW w:type="dxa" w:w="4320"/>
            <w:shd w:val="clear" w:color="auto" w:fill="E8F0FE"/>
          </w:tcPr>
          <w:p>
            <w:r>
              <w:rPr>
                <w:b/>
              </w:rPr>
              <w:t>Use when</w:t>
            </w:r>
          </w:p>
        </w:tc>
        <w:tc>
          <w:tcPr>
            <w:tcW w:type="dxa" w:w="4320"/>
          </w:tcPr>
          <w:p>
            <w:r>
              <w:t>Use filter, highlight, parameter, set and URL actions.</w:t>
            </w:r>
          </w:p>
        </w:tc>
      </w:tr>
      <w:tr>
        <w:tc>
          <w:tcPr>
            <w:tcW w:type="dxa" w:w="4320"/>
            <w:shd w:val="clear" w:color="auto" w:fill="E8F0FE"/>
          </w:tcPr>
          <w:p>
            <w:r>
              <w:rPr>
                <w:b/>
              </w:rPr>
              <w:t>Exam clue</w:t>
            </w:r>
          </w:p>
        </w:tc>
        <w:tc>
          <w:tcPr>
            <w:tcW w:type="dxa" w:w="4320"/>
          </w:tcPr>
          <w:p>
            <w:r>
              <w:t>Define source, target, event and clearing behaviour.</w:t>
            </w:r>
          </w:p>
        </w:tc>
      </w:tr>
      <w:tr>
        <w:tc>
          <w:tcPr>
            <w:tcW w:type="dxa" w:w="4320"/>
            <w:shd w:val="clear" w:color="auto" w:fill="E8F0FE"/>
          </w:tcPr>
          <w:p>
            <w:r>
              <w:rPr>
                <w:b/>
              </w:rPr>
              <w:t>Pitfall</w:t>
            </w:r>
          </w:p>
        </w:tc>
        <w:tc>
          <w:tcPr>
            <w:tcW w:type="dxa" w:w="4320"/>
          </w:tcPr>
          <w:p>
            <w:r>
              <w:t>Wrong clearing behaviour can leave blank dashboards.</w:t>
            </w:r>
          </w:p>
        </w:tc>
      </w:tr>
    </w:tbl>
    <w:p>
      <w:pPr>
        <w:pStyle w:val="Heading3"/>
      </w:pPr>
      <w:r>
        <w:t>3.2.4 — Configure layouts and devices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Containers and item hierarchy govern responsive alignment.</w:t>
            </w:r>
          </w:p>
        </w:tc>
      </w:tr>
      <w:tr>
        <w:tc>
          <w:tcPr>
            <w:tcW w:type="dxa" w:w="4320"/>
            <w:shd w:val="clear" w:color="auto" w:fill="E8F0FE"/>
          </w:tcPr>
          <w:p>
            <w:r>
              <w:rPr>
                <w:b/>
              </w:rPr>
              <w:t>Use when</w:t>
            </w:r>
          </w:p>
        </w:tc>
        <w:tc>
          <w:tcPr>
            <w:tcW w:type="dxa" w:w="4320"/>
          </w:tcPr>
          <w:p>
            <w:r>
              <w:t>Use fixed/range/automatic sizes and device layouts.</w:t>
            </w:r>
          </w:p>
        </w:tc>
      </w:tr>
      <w:tr>
        <w:tc>
          <w:tcPr>
            <w:tcW w:type="dxa" w:w="4320"/>
            <w:shd w:val="clear" w:color="auto" w:fill="E8F0FE"/>
          </w:tcPr>
          <w:p>
            <w:r>
              <w:rPr>
                <w:b/>
              </w:rPr>
              <w:t>Exam clue</w:t>
            </w:r>
          </w:p>
        </w:tc>
        <w:tc>
          <w:tcPr>
            <w:tcW w:type="dxa" w:w="4320"/>
          </w:tcPr>
          <w:p>
            <w:r>
              <w:t>Phone layouts can rearrange or omit objects.</w:t>
            </w:r>
          </w:p>
        </w:tc>
      </w:tr>
      <w:tr>
        <w:tc>
          <w:tcPr>
            <w:tcW w:type="dxa" w:w="4320"/>
            <w:shd w:val="clear" w:color="auto" w:fill="E8F0FE"/>
          </w:tcPr>
          <w:p>
            <w:r>
              <w:rPr>
                <w:b/>
              </w:rPr>
              <w:t>Pitfall</w:t>
            </w:r>
          </w:p>
        </w:tc>
        <w:tc>
          <w:tcPr>
            <w:tcW w:type="dxa" w:w="4320"/>
          </w:tcPr>
          <w:p>
            <w:r>
              <w:t>Automatic sizing alone does not ensure mobile usability.</w:t>
            </w:r>
          </w:p>
        </w:tc>
      </w:tr>
    </w:tbl>
    <w:p>
      <w:pPr>
        <w:pStyle w:val="Heading3"/>
      </w:pPr>
      <w:r>
        <w:t>3.2.5 — Create a story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story sequences sheets or dashboards as annotated points.</w:t>
            </w:r>
          </w:p>
        </w:tc>
      </w:tr>
      <w:tr>
        <w:tc>
          <w:tcPr>
            <w:tcW w:type="dxa" w:w="4320"/>
            <w:shd w:val="clear" w:color="auto" w:fill="E8F0FE"/>
          </w:tcPr>
          <w:p>
            <w:r>
              <w:rPr>
                <w:b/>
              </w:rPr>
              <w:t>Use when</w:t>
            </w:r>
          </w:p>
        </w:tc>
        <w:tc>
          <w:tcPr>
            <w:tcW w:type="dxa" w:w="4320"/>
          </w:tcPr>
          <w:p>
            <w:r>
              <w:t>Use for guided explanation rather than open exploration.</w:t>
            </w:r>
          </w:p>
        </w:tc>
      </w:tr>
      <w:tr>
        <w:tc>
          <w:tcPr>
            <w:tcW w:type="dxa" w:w="4320"/>
            <w:shd w:val="clear" w:color="auto" w:fill="E8F0FE"/>
          </w:tcPr>
          <w:p>
            <w:r>
              <w:rPr>
                <w:b/>
              </w:rPr>
              <w:t>Exam clue</w:t>
            </w:r>
          </w:p>
        </w:tc>
        <w:tc>
          <w:tcPr>
            <w:tcW w:type="dxa" w:w="4320"/>
          </w:tcPr>
          <w:p>
            <w:r>
              <w:t>Each point stores a view state and caption.</w:t>
            </w:r>
          </w:p>
        </w:tc>
      </w:tr>
      <w:tr>
        <w:tc>
          <w:tcPr>
            <w:tcW w:type="dxa" w:w="4320"/>
            <w:shd w:val="clear" w:color="auto" w:fill="E8F0FE"/>
          </w:tcPr>
          <w:p>
            <w:r>
              <w:rPr>
                <w:b/>
              </w:rPr>
              <w:t>Pitfall</w:t>
            </w:r>
          </w:p>
        </w:tc>
        <w:tc>
          <w:tcPr>
            <w:tcW w:type="dxa" w:w="4320"/>
          </w:tcPr>
          <w:p>
            <w:r>
              <w:t>Stories do not replace a coherent dashboard.</w:t>
            </w:r>
          </w:p>
        </w:tc>
      </w:tr>
    </w:tbl>
    <w:p>
      <w:pPr>
        <w:pStyle w:val="Heading2"/>
      </w:pPr>
      <w:r>
        <w:t>View and share workbook data</w:t>
      </w:r>
    </w:p>
    <w:p>
      <w:pPr>
        <w:pStyle w:val="Heading3"/>
      </w:pPr>
      <w:r>
        <w:t>3.3.1 — Share a workbook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Workbooks can be saved, packaged, exported or published.</w:t>
            </w:r>
          </w:p>
        </w:tc>
      </w:tr>
      <w:tr>
        <w:tc>
          <w:tcPr>
            <w:tcW w:type="dxa" w:w="4320"/>
            <w:shd w:val="clear" w:color="auto" w:fill="E8F0FE"/>
          </w:tcPr>
          <w:p>
            <w:r>
              <w:rPr>
                <w:b/>
              </w:rPr>
              <w:t>Use when</w:t>
            </w:r>
          </w:p>
        </w:tc>
        <w:tc>
          <w:tcPr>
            <w:tcW w:type="dxa" w:w="4320"/>
          </w:tcPr>
          <w:p>
            <w:r>
              <w:t>Use TWBX for portability and Server/Cloud for governed collaboration.</w:t>
            </w:r>
          </w:p>
        </w:tc>
      </w:tr>
      <w:tr>
        <w:tc>
          <w:tcPr>
            <w:tcW w:type="dxa" w:w="4320"/>
            <w:shd w:val="clear" w:color="auto" w:fill="E8F0FE"/>
          </w:tcPr>
          <w:p>
            <w:r>
              <w:rPr>
                <w:b/>
              </w:rPr>
              <w:t>Exam clue</w:t>
            </w:r>
          </w:p>
        </w:tc>
        <w:tc>
          <w:tcPr>
            <w:tcW w:type="dxa" w:w="4320"/>
          </w:tcPr>
          <w:p>
            <w:r>
              <w:t>A TWB may break if recipients cannot reach dependencies.</w:t>
            </w:r>
          </w:p>
        </w:tc>
      </w:tr>
      <w:tr>
        <w:tc>
          <w:tcPr>
            <w:tcW w:type="dxa" w:w="4320"/>
            <w:shd w:val="clear" w:color="auto" w:fill="E8F0FE"/>
          </w:tcPr>
          <w:p>
            <w:r>
              <w:rPr>
                <w:b/>
              </w:rPr>
              <w:t>Pitfall</w:t>
            </w:r>
          </w:p>
        </w:tc>
        <w:tc>
          <w:tcPr>
            <w:tcW w:type="dxa" w:w="4320"/>
          </w:tcPr>
          <w:p>
            <w:r>
              <w:t>Publishing does not automatically make content public.</w:t>
            </w:r>
          </w:p>
        </w:tc>
      </w:tr>
    </w:tbl>
    <w:p>
      <w:pPr>
        <w:pStyle w:val="Heading3"/>
      </w:pPr>
      <w:r>
        <w:t>3.3.2 — View and export underlying data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View Data exposes summary and permitted underlying rows.</w:t>
            </w:r>
          </w:p>
        </w:tc>
      </w:tr>
      <w:tr>
        <w:tc>
          <w:tcPr>
            <w:tcW w:type="dxa" w:w="4320"/>
            <w:shd w:val="clear" w:color="auto" w:fill="E8F0FE"/>
          </w:tcPr>
          <w:p>
            <w:r>
              <w:rPr>
                <w:b/>
              </w:rPr>
              <w:t>Use when</w:t>
            </w:r>
          </w:p>
        </w:tc>
        <w:tc>
          <w:tcPr>
            <w:tcW w:type="dxa" w:w="4320"/>
          </w:tcPr>
          <w:p>
            <w:r>
              <w:t>Use to audit marks or export support records.</w:t>
            </w:r>
          </w:p>
        </w:tc>
      </w:tr>
      <w:tr>
        <w:tc>
          <w:tcPr>
            <w:tcW w:type="dxa" w:w="4320"/>
            <w:shd w:val="clear" w:color="auto" w:fill="E8F0FE"/>
          </w:tcPr>
          <w:p>
            <w:r>
              <w:rPr>
                <w:b/>
              </w:rPr>
              <w:t>Exam clue</w:t>
            </w:r>
          </w:p>
        </w:tc>
        <w:tc>
          <w:tcPr>
            <w:tcW w:type="dxa" w:w="4320"/>
          </w:tcPr>
          <w:p>
            <w:r>
              <w:t>Selected marks and permissions define available data.</w:t>
            </w:r>
          </w:p>
        </w:tc>
      </w:tr>
      <w:tr>
        <w:tc>
          <w:tcPr>
            <w:tcW w:type="dxa" w:w="4320"/>
            <w:shd w:val="clear" w:color="auto" w:fill="E8F0FE"/>
          </w:tcPr>
          <w:p>
            <w:r>
              <w:rPr>
                <w:b/>
              </w:rPr>
              <w:t>Pitfall</w:t>
            </w:r>
          </w:p>
        </w:tc>
        <w:tc>
          <w:tcPr>
            <w:tcW w:type="dxa" w:w="4320"/>
          </w:tcPr>
          <w:p>
            <w:r>
              <w:t>Exports can leak sensitive detail.</w:t>
            </w:r>
          </w:p>
        </w:tc>
      </w:tr>
    </w:tbl>
    <w:p>
      <w:pPr>
        <w:pStyle w:val="Heading3"/>
      </w:pPr>
      <w:r>
        <w:t>3.3.3 — Export to PowerPoint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Tableau exports views as static PowerPoint images.</w:t>
            </w:r>
          </w:p>
        </w:tc>
      </w:tr>
      <w:tr>
        <w:tc>
          <w:tcPr>
            <w:tcW w:type="dxa" w:w="4320"/>
            <w:shd w:val="clear" w:color="auto" w:fill="E8F0FE"/>
          </w:tcPr>
          <w:p>
            <w:r>
              <w:rPr>
                <w:b/>
              </w:rPr>
              <w:t>Use when</w:t>
            </w:r>
          </w:p>
        </w:tc>
        <w:tc>
          <w:tcPr>
            <w:tcW w:type="dxa" w:w="4320"/>
          </w:tcPr>
          <w:p>
            <w:r>
              <w:t>Use for offline briefings without interactivity.</w:t>
            </w:r>
          </w:p>
        </w:tc>
      </w:tr>
      <w:tr>
        <w:tc>
          <w:tcPr>
            <w:tcW w:type="dxa" w:w="4320"/>
            <w:shd w:val="clear" w:color="auto" w:fill="E8F0FE"/>
          </w:tcPr>
          <w:p>
            <w:r>
              <w:rPr>
                <w:b/>
              </w:rPr>
              <w:t>Exam clue</w:t>
            </w:r>
          </w:p>
        </w:tc>
        <w:tc>
          <w:tcPr>
            <w:tcW w:type="dxa" w:w="4320"/>
          </w:tcPr>
          <w:p>
            <w:r>
              <w:t>Appearance is preserved, not filters or actions.</w:t>
            </w:r>
          </w:p>
        </w:tc>
      </w:tr>
      <w:tr>
        <w:tc>
          <w:tcPr>
            <w:tcW w:type="dxa" w:w="4320"/>
            <w:shd w:val="clear" w:color="auto" w:fill="E8F0FE"/>
          </w:tcPr>
          <w:p>
            <w:r>
              <w:rPr>
                <w:b/>
              </w:rPr>
              <w:t>Pitfall</w:t>
            </w:r>
          </w:p>
        </w:tc>
        <w:tc>
          <w:tcPr>
            <w:tcW w:type="dxa" w:w="4320"/>
          </w:tcPr>
          <w:p>
            <w:r>
              <w:t>Label snapshots with a data-as-of date.</w:t>
            </w:r>
          </w:p>
        </w:tc>
      </w:tr>
    </w:tbl>
    <w:p>
      <w:r>
        <w:br w:type="page"/>
      </w:r>
    </w:p>
    <w:p>
      <w:pPr>
        <w:pStyle w:val="Heading2"/>
      </w:pPr>
      <w:r>
        <w:t>Lab 08 — Build an Interactive Service Operations Dashboard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ApexCare's service director needs a daily dashboard for backlog, SLA risk, channel demand and team performance.</w:t>
            </w:r>
          </w:p>
        </w:tc>
      </w:tr>
      <w:tr>
        <w:tc>
          <w:tcPr>
            <w:tcW w:type="dxa" w:w="4320"/>
            <w:shd w:val="clear" w:color="auto" w:fill="E8F0FE"/>
          </w:tcPr>
          <w:p>
            <w:r>
              <w:rPr>
                <w:b/>
              </w:rPr>
              <w:t>Goal</w:t>
            </w:r>
          </w:p>
        </w:tc>
        <w:tc>
          <w:tcPr>
            <w:tcW w:type="dxa" w:w="4320"/>
          </w:tcPr>
          <w:p>
            <w:r>
              <w:t>Compose worksheets, containers, filters, tooltips and dashboard actions</w:t>
            </w:r>
          </w:p>
        </w:tc>
      </w:tr>
      <w:tr>
        <w:tc>
          <w:tcPr>
            <w:tcW w:type="dxa" w:w="4320"/>
            <w:shd w:val="clear" w:color="auto" w:fill="E8F0FE"/>
          </w:tcPr>
          <w:p>
            <w:r>
              <w:rPr>
                <w:b/>
              </w:rPr>
              <w:t>You will produce</w:t>
            </w:r>
          </w:p>
        </w:tc>
        <w:tc>
          <w:tcPr>
            <w:tcW w:type="dxa" w:w="4320"/>
          </w:tcPr>
          <w:p>
            <w:r>
              <w:t>A 1366×768 operational dashboard with KPIs, four views, scoped filters, highlight/filter actions and accessible tooltips</w:t>
            </w:r>
          </w:p>
        </w:tc>
      </w:tr>
      <w:tr>
        <w:tc>
          <w:tcPr>
            <w:tcW w:type="dxa" w:w="4320"/>
            <w:shd w:val="clear" w:color="auto" w:fill="E8F0FE"/>
          </w:tcPr>
          <w:p>
            <w:r>
              <w:rPr>
                <w:b/>
              </w:rPr>
              <w:t>Tools</w:t>
            </w:r>
          </w:p>
        </w:tc>
        <w:tc>
          <w:tcPr>
            <w:tcW w:type="dxa" w:w="4320"/>
          </w:tcPr>
          <w:p>
            <w:r>
              <w:t>Tableau Desktop · dashboards · layout containers · filters · actions · tooltips</w:t>
            </w:r>
          </w:p>
        </w:tc>
      </w:tr>
      <w:tr>
        <w:tc>
          <w:tcPr>
            <w:tcW w:type="dxa" w:w="4320"/>
            <w:shd w:val="clear" w:color="auto" w:fill="E8F0FE"/>
          </w:tcPr>
          <w:p>
            <w:r>
              <w:rPr>
                <w:b/>
              </w:rPr>
              <w:t>Folder</w:t>
            </w:r>
          </w:p>
        </w:tc>
        <w:tc>
          <w:tcPr>
            <w:tcW w:type="dxa" w:w="4320"/>
          </w:tcPr>
          <w:p>
            <w:r>
              <w:t>labs/lab-08-build-an-interactive-service-operations-dashboard</w:t>
            </w:r>
          </w:p>
        </w:tc>
      </w:tr>
      <w:tr>
        <w:tc>
          <w:tcPr>
            <w:tcW w:type="dxa" w:w="4320"/>
            <w:shd w:val="clear" w:color="auto" w:fill="E8F0FE"/>
          </w:tcPr>
          <w:p>
            <w:r>
              <w:rPr>
                <w:b/>
              </w:rPr>
              <w:t>Excel workbook</w:t>
            </w:r>
          </w:p>
        </w:tc>
        <w:tc>
          <w:tcPr>
            <w:tcW w:type="dxa" w:w="4320"/>
          </w:tcPr>
          <w:p>
            <w:r>
              <w:t>Lab-08-ApexCare-Service-Operations.xlsx</w:t>
            </w:r>
          </w:p>
        </w:tc>
      </w:tr>
      <w:tr>
        <w:tc>
          <w:tcPr>
            <w:tcW w:type="dxa" w:w="4320"/>
            <w:shd w:val="clear" w:color="auto" w:fill="E8F0FE"/>
          </w:tcPr>
          <w:p>
            <w:r>
              <w:rPr>
                <w:b/>
              </w:rPr>
              <w:t>Suggested time</w:t>
            </w:r>
          </w:p>
        </w:tc>
        <w:tc>
          <w:tcPr>
            <w:tcW w:type="dxa" w:w="4320"/>
          </w:tcPr>
          <w:p>
            <w:r>
              <w:t>90 minutes</w:t>
            </w:r>
          </w:p>
        </w:tc>
      </w:tr>
    </w:tbl>
    <w:p>
      <w:pPr>
        <w:pStyle w:val="Heading3"/>
      </w:pPr>
      <w:r>
        <w:t>Detailed Step-by-Step Procedure</w:t>
      </w:r>
    </w:p>
    <w:p>
      <w:pPr>
        <w:pStyle w:val="ListNumber"/>
      </w:pPr>
      <w:r>
        <w:rPr>
          <w:b/>
        </w:rPr>
        <w:t>Connect to Lab-08-ApexCare-Service-Operations.xlsx.</w:t>
      </w:r>
    </w:p>
    <w:p>
      <w:pPr>
        <w:spacing w:after="120"/>
        <w:ind w:left="432"/>
      </w:pPr>
      <w:r>
        <w:t>Review Tickets, Agents, SLA Targets and Control sheets.</w:t>
      </w:r>
    </w:p>
    <w:p>
      <w:pPr>
        <w:pStyle w:val="ListNumber"/>
      </w:pPr>
      <w:r>
        <w:rPr>
          <w:b/>
        </w:rPr>
        <w:t>Create the four KPI calculations.</w:t>
      </w:r>
    </w:p>
    <w:p>
      <w:pPr>
        <w:spacing w:after="120"/>
        <w:ind w:left="432"/>
      </w:pPr>
      <w:r>
        <w:t>Open Backlog, SLA Breach Rate, Median Resolution Hours and CSAT.</w:t>
      </w:r>
    </w:p>
    <w:p>
      <w:pPr>
        <w:pStyle w:val="ListNumber"/>
      </w:pPr>
      <w:r>
        <w:rPr>
          <w:b/>
        </w:rPr>
        <w:t>Build Backlog by Team as a bar chart.</w:t>
      </w:r>
    </w:p>
    <w:p>
      <w:pPr>
        <w:spacing w:after="120"/>
        <w:ind w:left="432"/>
      </w:pPr>
      <w:r>
        <w:t>Sort descending and use an SLA-risk highlight.</w:t>
      </w:r>
    </w:p>
    <w:p>
      <w:pPr>
        <w:pStyle w:val="ListNumber"/>
      </w:pPr>
      <w:r>
        <w:rPr>
          <w:b/>
        </w:rPr>
        <w:t>Build Daily Ticket Trend as a line chart.</w:t>
      </w:r>
    </w:p>
    <w:p>
      <w:pPr>
        <w:spacing w:after="120"/>
        <w:ind w:left="432"/>
      </w:pPr>
      <w:r>
        <w:t>Show Opened and Resolved tickets with consistent units.</w:t>
      </w:r>
    </w:p>
    <w:p>
      <w:pPr>
        <w:pStyle w:val="ListNumber"/>
      </w:pPr>
      <w:r>
        <w:rPr>
          <w:b/>
        </w:rPr>
        <w:t>Build Channel × Priority as a highlight table.</w:t>
      </w:r>
    </w:p>
    <w:p>
      <w:pPr>
        <w:spacing w:after="120"/>
        <w:ind w:left="432"/>
      </w:pPr>
      <w:r>
        <w:t>Use count on text and colour.</w:t>
      </w:r>
    </w:p>
    <w:p>
      <w:pPr>
        <w:pStyle w:val="ListNumber"/>
      </w:pPr>
      <w:r>
        <w:rPr>
          <w:b/>
        </w:rPr>
        <w:t>Build Resolution vs CSAT as a scatterplot.</w:t>
      </w:r>
    </w:p>
    <w:p>
      <w:pPr>
        <w:spacing w:after="120"/>
        <w:ind w:left="432"/>
      </w:pPr>
      <w:r>
        <w:t>Use Agent on Detail and Team on Colour.</w:t>
      </w:r>
    </w:p>
    <w:p>
      <w:pPr>
        <w:pStyle w:val="ListNumber"/>
      </w:pPr>
      <w:r>
        <w:rPr>
          <w:b/>
        </w:rPr>
        <w:t>Create a fixed 1366×768 dashboard.</w:t>
      </w:r>
    </w:p>
    <w:p>
      <w:pPr>
        <w:spacing w:after="120"/>
        <w:ind w:left="432"/>
      </w:pPr>
      <w:r>
        <w:t>Use tiled vertical and horizontal containers to establish hierarchy.</w:t>
      </w:r>
    </w:p>
    <w:p>
      <w:pPr>
        <w:pStyle w:val="ListNumber"/>
      </w:pPr>
      <w:r>
        <w:rPr>
          <w:b/>
        </w:rPr>
        <w:t>Place KPI tiles and views.</w:t>
      </w:r>
    </w:p>
    <w:p>
      <w:pPr>
        <w:spacing w:after="120"/>
        <w:ind w:left="432"/>
      </w:pPr>
      <w:r>
        <w:t>Keep the main decision view prominent and align padding consistently.</w:t>
      </w:r>
    </w:p>
    <w:p>
      <w:pPr>
        <w:pStyle w:val="ListNumber"/>
      </w:pPr>
      <w:r>
        <w:rPr>
          <w:b/>
        </w:rPr>
        <w:t>Add Date, Team and Priority filters.</w:t>
      </w:r>
    </w:p>
    <w:p>
      <w:pPr>
        <w:spacing w:after="120"/>
        <w:ind w:left="432"/>
      </w:pPr>
      <w:r>
        <w:t>Apply each only to relevant worksheets.</w:t>
      </w:r>
    </w:p>
    <w:p>
      <w:pPr>
        <w:pStyle w:val="ListNumber"/>
      </w:pPr>
      <w:r>
        <w:rPr>
          <w:b/>
        </w:rPr>
        <w:t>Add a Team filter action.</w:t>
      </w:r>
    </w:p>
    <w:p>
      <w:pPr>
        <w:spacing w:after="120"/>
        <w:ind w:left="432"/>
      </w:pPr>
      <w:r>
        <w:t>Selecting a team bar filters the trend, matrix and scatterplot.</w:t>
      </w:r>
    </w:p>
    <w:p>
      <w:pPr>
        <w:pStyle w:val="ListNumber"/>
      </w:pPr>
      <w:r>
        <w:rPr>
          <w:b/>
        </w:rPr>
        <w:t>Add a Priority highlight action.</w:t>
      </w:r>
    </w:p>
    <w:p>
      <w:pPr>
        <w:spacing w:after="120"/>
        <w:ind w:left="432"/>
      </w:pPr>
      <w:r>
        <w:t>Hovering the matrix highlights related marks without removing context.</w:t>
      </w:r>
    </w:p>
    <w:p>
      <w:pPr>
        <w:pStyle w:val="ListNumber"/>
      </w:pPr>
      <w:r>
        <w:rPr>
          <w:b/>
        </w:rPr>
        <w:t>Rewrite tooltips.</w:t>
      </w:r>
    </w:p>
    <w:p>
      <w:pPr>
        <w:spacing w:after="120"/>
        <w:ind w:left="432"/>
      </w:pPr>
      <w:r>
        <w:t>Lead with the business meaning, then the key values and filter context.</w:t>
      </w:r>
    </w:p>
    <w:p>
      <w:pPr>
        <w:pStyle w:val="ListNumber"/>
      </w:pPr>
      <w:r>
        <w:rPr>
          <w:b/>
        </w:rPr>
        <w:t>Test dashboard states.</w:t>
      </w:r>
    </w:p>
    <w:p>
      <w:pPr>
        <w:spacing w:after="120"/>
        <w:ind w:left="432"/>
      </w:pPr>
      <w:r>
        <w:t>Use the acceptance checklist for default, selected, cleared and no-data states.</w:t>
      </w:r>
    </w:p>
    <w:p>
      <w:pPr>
        <w:pStyle w:val="ListNumber"/>
      </w:pPr>
      <w:r>
        <w:rPr>
          <w:b/>
        </w:rPr>
        <w:t>Save as Lab-08-Service-Dashboard.twbx.</w:t>
      </w:r>
    </w:p>
    <w:p>
      <w:pPr>
        <w:spacing w:after="120"/>
        <w:ind w:left="432"/>
      </w:pPr>
      <w:r>
        <w:t>Export dashboard PNG and action settings screenshots.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dashboard loads in the target size, KPIs match Control, filters are scoped, actions clear correctly, no object overlaps, and a manager can answer the three stated operational questions.</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09 — Optimise, Package and Share an Executive Workbook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Sentinel Energy must brief executives while giving analysts a governed interactive workbook.</w:t>
            </w:r>
          </w:p>
        </w:tc>
      </w:tr>
      <w:tr>
        <w:tc>
          <w:tcPr>
            <w:tcW w:type="dxa" w:w="4320"/>
            <w:shd w:val="clear" w:color="auto" w:fill="E8F0FE"/>
          </w:tcPr>
          <w:p>
            <w:r>
              <w:rPr>
                <w:b/>
              </w:rPr>
              <w:t>Goal</w:t>
            </w:r>
          </w:p>
        </w:tc>
        <w:tc>
          <w:tcPr>
            <w:tcW w:type="dxa" w:w="4320"/>
          </w:tcPr>
          <w:p>
            <w:r>
              <w:t>Create device layouts, a story, exports and a governed sharing plan</w:t>
            </w:r>
          </w:p>
        </w:tc>
      </w:tr>
      <w:tr>
        <w:tc>
          <w:tcPr>
            <w:tcW w:type="dxa" w:w="4320"/>
            <w:shd w:val="clear" w:color="auto" w:fill="E8F0FE"/>
          </w:tcPr>
          <w:p>
            <w:r>
              <w:rPr>
                <w:b/>
              </w:rPr>
              <w:t>You will produce</w:t>
            </w:r>
          </w:p>
        </w:tc>
        <w:tc>
          <w:tcPr>
            <w:tcW w:type="dxa" w:w="4320"/>
          </w:tcPr>
          <w:p>
            <w:r>
              <w:t>Desktop and phone layouts, three story points, TWB/TWBX comparison, PDF/PNG/PPT exports and a publishing checklist</w:t>
            </w:r>
          </w:p>
        </w:tc>
      </w:tr>
      <w:tr>
        <w:tc>
          <w:tcPr>
            <w:tcW w:type="dxa" w:w="4320"/>
            <w:shd w:val="clear" w:color="auto" w:fill="E8F0FE"/>
          </w:tcPr>
          <w:p>
            <w:r>
              <w:rPr>
                <w:b/>
              </w:rPr>
              <w:t>Tools</w:t>
            </w:r>
          </w:p>
        </w:tc>
        <w:tc>
          <w:tcPr>
            <w:tcW w:type="dxa" w:w="4320"/>
          </w:tcPr>
          <w:p>
            <w:r>
              <w:t>Tableau Desktop · Device Designer · stories · TWBX · PDF/PNG/PPT · Server/Cloud</w:t>
            </w:r>
          </w:p>
        </w:tc>
      </w:tr>
      <w:tr>
        <w:tc>
          <w:tcPr>
            <w:tcW w:type="dxa" w:w="4320"/>
            <w:shd w:val="clear" w:color="auto" w:fill="E8F0FE"/>
          </w:tcPr>
          <w:p>
            <w:r>
              <w:rPr>
                <w:b/>
              </w:rPr>
              <w:t>Folder</w:t>
            </w:r>
          </w:p>
        </w:tc>
        <w:tc>
          <w:tcPr>
            <w:tcW w:type="dxa" w:w="4320"/>
          </w:tcPr>
          <w:p>
            <w:r>
              <w:t>labs/lab-09-optimise-package-and-share-an-executive-workbook</w:t>
            </w:r>
          </w:p>
        </w:tc>
      </w:tr>
      <w:tr>
        <w:tc>
          <w:tcPr>
            <w:tcW w:type="dxa" w:w="4320"/>
            <w:shd w:val="clear" w:color="auto" w:fill="E8F0FE"/>
          </w:tcPr>
          <w:p>
            <w:r>
              <w:rPr>
                <w:b/>
              </w:rPr>
              <w:t>Excel workbook</w:t>
            </w:r>
          </w:p>
        </w:tc>
        <w:tc>
          <w:tcPr>
            <w:tcW w:type="dxa" w:w="4320"/>
          </w:tcPr>
          <w:p>
            <w:r>
              <w:t>Lab-09-Sentinel-Energy-Executive-Sharing.xlsx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Lab-09-Sentinel-Energy-Executive-Sharing.xlsx.</w:t>
      </w:r>
    </w:p>
    <w:p>
      <w:pPr>
        <w:spacing w:after="120"/>
        <w:ind w:left="432"/>
      </w:pPr>
      <w:r>
        <w:t>Review Energy Performance and Governance Notes.</w:t>
      </w:r>
    </w:p>
    <w:p>
      <w:pPr>
        <w:pStyle w:val="ListNumber"/>
      </w:pPr>
      <w:r>
        <w:rPr>
          <w:b/>
        </w:rPr>
        <w:t>Build the Executive Performance dashboard.</w:t>
      </w:r>
    </w:p>
    <w:p>
      <w:pPr>
        <w:spacing w:after="120"/>
        <w:ind w:left="432"/>
      </w:pPr>
      <w:r>
        <w:t>Show demand, cost, renewable share and outage risk.</w:t>
      </w:r>
    </w:p>
    <w:p>
      <w:pPr>
        <w:pStyle w:val="ListNumber"/>
      </w:pPr>
      <w:r>
        <w:rPr>
          <w:b/>
        </w:rPr>
        <w:t>Apply the presentation style guide.</w:t>
      </w:r>
    </w:p>
    <w:p>
      <w:pPr>
        <w:spacing w:after="120"/>
        <w:ind w:left="432"/>
      </w:pPr>
      <w:r>
        <w:t>Use accessible colours, readable type, consistent numbers and concise legends.</w:t>
      </w:r>
    </w:p>
    <w:p>
      <w:pPr>
        <w:pStyle w:val="ListNumber"/>
      </w:pPr>
      <w:r>
        <w:rPr>
          <w:b/>
        </w:rPr>
        <w:t>Configure viz animations.</w:t>
      </w:r>
    </w:p>
    <w:p>
      <w:pPr>
        <w:spacing w:after="120"/>
        <w:ind w:left="432"/>
      </w:pPr>
      <w:r>
        <w:t>Use subtle animation for a year or scenario change and verify the final state remains understandable.</w:t>
      </w:r>
    </w:p>
    <w:p>
      <w:pPr>
        <w:pStyle w:val="ListNumber"/>
      </w:pPr>
      <w:r>
        <w:rPr>
          <w:b/>
        </w:rPr>
        <w:t>Create a phone layout.</w:t>
      </w:r>
    </w:p>
    <w:p>
      <w:pPr>
        <w:spacing w:after="120"/>
        <w:ind w:left="432"/>
      </w:pPr>
      <w:r>
        <w:t>Reorder to KPI &gt; key trend &gt; exception list; remove nonessential views.</w:t>
      </w:r>
    </w:p>
    <w:p>
      <w:pPr>
        <w:pStyle w:val="ListNumber"/>
      </w:pPr>
      <w:r>
        <w:rPr>
          <w:b/>
        </w:rPr>
        <w:t>Test multiple device previews.</w:t>
      </w:r>
    </w:p>
    <w:p>
      <w:pPr>
        <w:spacing w:after="120"/>
        <w:ind w:left="432"/>
      </w:pPr>
      <w:r>
        <w:t>Confirm legibility, touch targets and no horizontal scrolling.</w:t>
      </w:r>
    </w:p>
    <w:p>
      <w:pPr>
        <w:pStyle w:val="ListNumber"/>
      </w:pPr>
      <w:r>
        <w:rPr>
          <w:b/>
        </w:rPr>
        <w:t>Create a story with three points.</w:t>
      </w:r>
    </w:p>
    <w:p>
      <w:pPr>
        <w:spacing w:after="120"/>
        <w:ind w:left="432"/>
      </w:pPr>
      <w:r>
        <w:t>Situation, evidence and recommended action; give every point a decision-oriented caption.</w:t>
      </w:r>
    </w:p>
    <w:p>
      <w:pPr>
        <w:pStyle w:val="ListNumber"/>
      </w:pPr>
      <w:r>
        <w:rPr>
          <w:b/>
        </w:rPr>
        <w:t>Save a .twb and inspect dependencies.</w:t>
      </w:r>
    </w:p>
    <w:p>
      <w:pPr>
        <w:spacing w:after="120"/>
        <w:ind w:left="432"/>
      </w:pPr>
      <w:r>
        <w:t>Explain why a recipient without the source may see broken connections.</w:t>
      </w:r>
    </w:p>
    <w:p>
      <w:pPr>
        <w:pStyle w:val="ListNumber"/>
      </w:pPr>
      <w:r>
        <w:rPr>
          <w:b/>
        </w:rPr>
        <w:t>Save a .twbx.</w:t>
      </w:r>
    </w:p>
    <w:p>
      <w:pPr>
        <w:spacing w:after="120"/>
        <w:ind w:left="432"/>
      </w:pPr>
      <w:r>
        <w:t>Confirm the Excel data is packaged and compare file size.</w:t>
      </w:r>
    </w:p>
    <w:p>
      <w:pPr>
        <w:pStyle w:val="ListNumber"/>
      </w:pPr>
      <w:r>
        <w:rPr>
          <w:b/>
        </w:rPr>
        <w:t>Export PDF, PNG and PowerPoint.</w:t>
      </w:r>
    </w:p>
    <w:p>
      <w:pPr>
        <w:spacing w:after="120"/>
        <w:ind w:left="432"/>
      </w:pPr>
      <w:r>
        <w:t>Record which interaction and freshness capabilities are lost.</w:t>
      </w:r>
    </w:p>
    <w:p>
      <w:pPr>
        <w:pStyle w:val="ListNumber"/>
      </w:pPr>
      <w:r>
        <w:rPr>
          <w:b/>
        </w:rPr>
        <w:t>Draft a Server/Cloud publish plan.</w:t>
      </w:r>
    </w:p>
    <w:p>
      <w:pPr>
        <w:spacing w:after="120"/>
        <w:ind w:left="432"/>
      </w:pPr>
      <w:r>
        <w:t>Specify project, permissions, refresh schedule, owner and certification status.</w:t>
      </w:r>
    </w:p>
    <w:p>
      <w:pPr>
        <w:pStyle w:val="ListNumber"/>
      </w:pPr>
      <w:r>
        <w:rPr>
          <w:b/>
        </w:rPr>
        <w:t>Audit underlying-data exposure.</w:t>
      </w:r>
    </w:p>
    <w:p>
      <w:pPr>
        <w:spacing w:after="120"/>
        <w:ind w:left="432"/>
      </w:pPr>
      <w:r>
        <w:t>Test View Data and export permissions against the Governance Notes.</w:t>
      </w:r>
    </w:p>
    <w:p>
      <w:pPr>
        <w:pStyle w:val="ListNumber"/>
      </w:pPr>
      <w:r>
        <w:rPr>
          <w:b/>
        </w:rPr>
        <w:t>Save as Lab-09-Executive-Sharing.twbx.</w:t>
      </w:r>
    </w:p>
    <w:p>
      <w:pPr>
        <w:spacing w:after="120"/>
        <w:ind w:left="432"/>
      </w:pPr>
      <w:r>
        <w:t>Submit both layouts, story, exports and the sharing decision table.</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Desktop and phone layouts are usable, the story has three coherent points, TWBX is portable, static exports are labelled with data-as-of context, and the publish plan protects underlying data.</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Topic 04 — Understanding Tableau Concepts and Certification Preparation (15%)</w:t>
      </w:r>
    </w:p>
    <w:p>
      <w:r>
        <w:t>Dimensions · measures · discrete · continuous · aggregation · exam strategy</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Role and type differ</w:t>
            </w:r>
          </w:p>
        </w:tc>
        <w:tc>
          <w:tcPr>
            <w:tcW w:type="dxa" w:w="4320"/>
          </w:tcPr>
          <w:p>
            <w:r>
              <w:t>Dimension/measure is analytical role; discrete/continuous is display behaviour.</w:t>
            </w:r>
          </w:p>
        </w:tc>
      </w:tr>
      <w:tr>
        <w:tc>
          <w:tcPr>
            <w:tcW w:type="dxa" w:w="4320"/>
          </w:tcPr>
          <w:p>
            <w:r>
              <w:rPr>
                <w:b/>
              </w:rPr>
              <w:t>Blue and green</w:t>
            </w:r>
          </w:p>
        </w:tc>
        <w:tc>
          <w:tcPr>
            <w:tcW w:type="dxa" w:w="4320"/>
          </w:tcPr>
          <w:p>
            <w:r>
              <w:t>Blue discrete pills make headers; green continuous pills make axes.</w:t>
            </w:r>
          </w:p>
        </w:tc>
      </w:tr>
      <w:tr>
        <w:tc>
          <w:tcPr>
            <w:tcW w:type="dxa" w:w="4320"/>
          </w:tcPr>
          <w:p>
            <w:r>
              <w:rPr>
                <w:b/>
              </w:rPr>
              <w:t>Aggregation follows grain</w:t>
            </w:r>
          </w:p>
        </w:tc>
        <w:tc>
          <w:tcPr>
            <w:tcW w:type="dxa" w:w="4320"/>
          </w:tcPr>
          <w:p>
            <w:r>
              <w:t>Measures aggregate at the level defined by dimensions.</w:t>
            </w:r>
          </w:p>
        </w:tc>
      </w:tr>
      <w:tr>
        <w:tc>
          <w:tcPr>
            <w:tcW w:type="dxa" w:w="4320"/>
          </w:tcPr>
          <w:p>
            <w:r>
              <w:rPr>
                <w:b/>
              </w:rPr>
              <w:t>Reason from consequences</w:t>
            </w:r>
          </w:p>
        </w:tc>
        <w:tc>
          <w:tcPr>
            <w:tcW w:type="dxa" w:w="4320"/>
          </w:tcPr>
          <w:p>
            <w:r>
              <w:t>Use pill colour, shelf placement, grain and order of operations.</w:t>
            </w:r>
          </w:p>
        </w:tc>
      </w:tr>
    </w:tbl>
    <w:p>
      <w:pPr>
        <w:pStyle w:val="Heading2"/>
      </w:pPr>
      <w:r>
        <w:t>Understand dimensions and measures</w:t>
      </w:r>
    </w:p>
    <w:p>
      <w:pPr>
        <w:pStyle w:val="Heading3"/>
      </w:pPr>
      <w:r>
        <w:t>4.1.1 — What dimensions contain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Dimensions usually contain names, categories, dates and locations.</w:t>
            </w:r>
          </w:p>
        </w:tc>
      </w:tr>
      <w:tr>
        <w:tc>
          <w:tcPr>
            <w:tcW w:type="dxa" w:w="4320"/>
            <w:shd w:val="clear" w:color="auto" w:fill="E8F0FE"/>
          </w:tcPr>
          <w:p>
            <w:r>
              <w:rPr>
                <w:b/>
              </w:rPr>
              <w:t>Use when</w:t>
            </w:r>
          </w:p>
        </w:tc>
        <w:tc>
          <w:tcPr>
            <w:tcW w:type="dxa" w:w="4320"/>
          </w:tcPr>
          <w:p>
            <w:r>
              <w:t>Use them to segment, label, filter and define detail.</w:t>
            </w:r>
          </w:p>
        </w:tc>
      </w:tr>
      <w:tr>
        <w:tc>
          <w:tcPr>
            <w:tcW w:type="dxa" w:w="4320"/>
            <w:shd w:val="clear" w:color="auto" w:fill="E8F0FE"/>
          </w:tcPr>
          <w:p>
            <w:r>
              <w:rPr>
                <w:b/>
              </w:rPr>
              <w:t>Exam clue</w:t>
            </w:r>
          </w:p>
        </w:tc>
        <w:tc>
          <w:tcPr>
            <w:tcW w:type="dxa" w:w="4320"/>
          </w:tcPr>
          <w:p>
            <w:r>
              <w:t>They often create headers and partitions.</w:t>
            </w:r>
          </w:p>
        </w:tc>
      </w:tr>
      <w:tr>
        <w:tc>
          <w:tcPr>
            <w:tcW w:type="dxa" w:w="4320"/>
            <w:shd w:val="clear" w:color="auto" w:fill="E8F0FE"/>
          </w:tcPr>
          <w:p>
            <w:r>
              <w:rPr>
                <w:b/>
              </w:rPr>
              <w:t>Pitfall</w:t>
            </w:r>
          </w:p>
        </w:tc>
        <w:tc>
          <w:tcPr>
            <w:tcW w:type="dxa" w:w="4320"/>
          </w:tcPr>
          <w:p>
            <w:r>
              <w:t>A numeric code is not automatically a measure.</w:t>
            </w:r>
          </w:p>
        </w:tc>
      </w:tr>
    </w:tbl>
    <w:p>
      <w:pPr>
        <w:pStyle w:val="Heading3"/>
      </w:pPr>
      <w:r>
        <w:t>4.1.2 — What measures contain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Measures usually contain quantitative values for aggregation.</w:t>
            </w:r>
          </w:p>
        </w:tc>
      </w:tr>
      <w:tr>
        <w:tc>
          <w:tcPr>
            <w:tcW w:type="dxa" w:w="4320"/>
            <w:shd w:val="clear" w:color="auto" w:fill="E8F0FE"/>
          </w:tcPr>
          <w:p>
            <w:r>
              <w:rPr>
                <w:b/>
              </w:rPr>
              <w:t>Use when</w:t>
            </w:r>
          </w:p>
        </w:tc>
        <w:tc>
          <w:tcPr>
            <w:tcW w:type="dxa" w:w="4320"/>
          </w:tcPr>
          <w:p>
            <w:r>
              <w:t>Use for totals, averages, counts, ratios and axes.</w:t>
            </w:r>
          </w:p>
        </w:tc>
      </w:tr>
      <w:tr>
        <w:tc>
          <w:tcPr>
            <w:tcW w:type="dxa" w:w="4320"/>
            <w:shd w:val="clear" w:color="auto" w:fill="E8F0FE"/>
          </w:tcPr>
          <w:p>
            <w:r>
              <w:rPr>
                <w:b/>
              </w:rPr>
              <w:t>Exam clue</w:t>
            </w:r>
          </w:p>
        </w:tc>
        <w:tc>
          <w:tcPr>
            <w:tcW w:type="dxa" w:w="4320"/>
          </w:tcPr>
          <w:p>
            <w:r>
              <w:t>Green measures create axes; blue measures can create headers.</w:t>
            </w:r>
          </w:p>
        </w:tc>
      </w:tr>
      <w:tr>
        <w:tc>
          <w:tcPr>
            <w:tcW w:type="dxa" w:w="4320"/>
            <w:shd w:val="clear" w:color="auto" w:fill="E8F0FE"/>
          </w:tcPr>
          <w:p>
            <w:r>
              <w:rPr>
                <w:b/>
              </w:rPr>
              <w:t>Pitfall</w:t>
            </w:r>
          </w:p>
        </w:tc>
        <w:tc>
          <w:tcPr>
            <w:tcW w:type="dxa" w:w="4320"/>
          </w:tcPr>
          <w:p>
            <w:r>
              <w:t>Percentages and prices are not always additive.</w:t>
            </w:r>
          </w:p>
        </w:tc>
      </w:tr>
    </w:tbl>
    <w:p>
      <w:pPr>
        <w:pStyle w:val="Heading3"/>
      </w:pPr>
      <w:r>
        <w:t>4.1.3 — Dimensions versus measures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Dimensions answer who/what/where/when; measures answer how much/how many.</w:t>
            </w:r>
          </w:p>
        </w:tc>
      </w:tr>
      <w:tr>
        <w:tc>
          <w:tcPr>
            <w:tcW w:type="dxa" w:w="4320"/>
            <w:shd w:val="clear" w:color="auto" w:fill="E8F0FE"/>
          </w:tcPr>
          <w:p>
            <w:r>
              <w:rPr>
                <w:b/>
              </w:rPr>
              <w:t>Use when</w:t>
            </w:r>
          </w:p>
        </w:tc>
        <w:tc>
          <w:tcPr>
            <w:tcW w:type="dxa" w:w="4320"/>
          </w:tcPr>
          <w:p>
            <w:r>
              <w:t>Use both to define grain and numerical result.</w:t>
            </w:r>
          </w:p>
        </w:tc>
      </w:tr>
      <w:tr>
        <w:tc>
          <w:tcPr>
            <w:tcW w:type="dxa" w:w="4320"/>
            <w:shd w:val="clear" w:color="auto" w:fill="E8F0FE"/>
          </w:tcPr>
          <w:p>
            <w:r>
              <w:rPr>
                <w:b/>
              </w:rPr>
              <w:t>Exam clue</w:t>
            </w:r>
          </w:p>
        </w:tc>
        <w:tc>
          <w:tcPr>
            <w:tcW w:type="dxa" w:w="4320"/>
          </w:tcPr>
          <w:p>
            <w:r>
              <w:t>Converting role changes partitioning and aggregation.</w:t>
            </w:r>
          </w:p>
        </w:tc>
      </w:tr>
      <w:tr>
        <w:tc>
          <w:tcPr>
            <w:tcW w:type="dxa" w:w="4320"/>
            <w:shd w:val="clear" w:color="auto" w:fill="E8F0FE"/>
          </w:tcPr>
          <w:p>
            <w:r>
              <w:rPr>
                <w:b/>
              </w:rPr>
              <w:t>Pitfall</w:t>
            </w:r>
          </w:p>
        </w:tc>
        <w:tc>
          <w:tcPr>
            <w:tcW w:type="dxa" w:w="4320"/>
          </w:tcPr>
          <w:p>
            <w:r>
              <w:t>Do not confuse role with data type.</w:t>
            </w:r>
          </w:p>
        </w:tc>
      </w:tr>
    </w:tbl>
    <w:p>
      <w:pPr>
        <w:pStyle w:val="Heading2"/>
      </w:pPr>
      <w:r>
        <w:t>Understand discrete and continuous fields</w:t>
      </w:r>
    </w:p>
    <w:p>
      <w:pPr>
        <w:pStyle w:val="Heading3"/>
      </w:pPr>
      <w:r>
        <w:t>4.2.1 — How discrete fields display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Discrete fields create headers and partitions.</w:t>
            </w:r>
          </w:p>
        </w:tc>
      </w:tr>
      <w:tr>
        <w:tc>
          <w:tcPr>
            <w:tcW w:type="dxa" w:w="4320"/>
            <w:shd w:val="clear" w:color="auto" w:fill="E8F0FE"/>
          </w:tcPr>
          <w:p>
            <w:r>
              <w:rPr>
                <w:b/>
              </w:rPr>
              <w:t>Use when</w:t>
            </w:r>
          </w:p>
        </w:tc>
        <w:tc>
          <w:tcPr>
            <w:tcW w:type="dxa" w:w="4320"/>
          </w:tcPr>
          <w:p>
            <w:r>
              <w:t>Use for named groups, panes and exact date parts.</w:t>
            </w:r>
          </w:p>
        </w:tc>
      </w:tr>
      <w:tr>
        <w:tc>
          <w:tcPr>
            <w:tcW w:type="dxa" w:w="4320"/>
            <w:shd w:val="clear" w:color="auto" w:fill="E8F0FE"/>
          </w:tcPr>
          <w:p>
            <w:r>
              <w:rPr>
                <w:b/>
              </w:rPr>
              <w:t>Exam clue</w:t>
            </w:r>
          </w:p>
        </w:tc>
        <w:tc>
          <w:tcPr>
            <w:tcW w:type="dxa" w:w="4320"/>
          </w:tcPr>
          <w:p>
            <w:r>
              <w:t>Blue pills mean discrete behaviour.</w:t>
            </w:r>
          </w:p>
        </w:tc>
      </w:tr>
      <w:tr>
        <w:tc>
          <w:tcPr>
            <w:tcW w:type="dxa" w:w="4320"/>
            <w:shd w:val="clear" w:color="auto" w:fill="E8F0FE"/>
          </w:tcPr>
          <w:p>
            <w:r>
              <w:rPr>
                <w:b/>
              </w:rPr>
              <w:t>Pitfall</w:t>
            </w:r>
          </w:p>
        </w:tc>
        <w:tc>
          <w:tcPr>
            <w:tcW w:type="dxa" w:w="4320"/>
          </w:tcPr>
          <w:p>
            <w:r>
              <w:t>Discrete does not mean text.</w:t>
            </w:r>
          </w:p>
        </w:tc>
      </w:tr>
    </w:tbl>
    <w:p>
      <w:pPr>
        <w:pStyle w:val="Heading3"/>
      </w:pPr>
      <w:r>
        <w:t>4.2.2 — How continuous fields display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Continuous fields create axes over an unbroken range.</w:t>
            </w:r>
          </w:p>
        </w:tc>
      </w:tr>
      <w:tr>
        <w:tc>
          <w:tcPr>
            <w:tcW w:type="dxa" w:w="4320"/>
            <w:shd w:val="clear" w:color="auto" w:fill="E8F0FE"/>
          </w:tcPr>
          <w:p>
            <w:r>
              <w:rPr>
                <w:b/>
              </w:rPr>
              <w:t>Use when</w:t>
            </w:r>
          </w:p>
        </w:tc>
        <w:tc>
          <w:tcPr>
            <w:tcW w:type="dxa" w:w="4320"/>
          </w:tcPr>
          <w:p>
            <w:r>
              <w:t>Use for quantitative scales and temporal trends.</w:t>
            </w:r>
          </w:p>
        </w:tc>
      </w:tr>
      <w:tr>
        <w:tc>
          <w:tcPr>
            <w:tcW w:type="dxa" w:w="4320"/>
            <w:shd w:val="clear" w:color="auto" w:fill="E8F0FE"/>
          </w:tcPr>
          <w:p>
            <w:r>
              <w:rPr>
                <w:b/>
              </w:rPr>
              <w:t>Exam clue</w:t>
            </w:r>
          </w:p>
        </w:tc>
        <w:tc>
          <w:tcPr>
            <w:tcW w:type="dxa" w:w="4320"/>
          </w:tcPr>
          <w:p>
            <w:r>
              <w:t>Green pills mean continuous behaviour.</w:t>
            </w:r>
          </w:p>
        </w:tc>
      </w:tr>
      <w:tr>
        <w:tc>
          <w:tcPr>
            <w:tcW w:type="dxa" w:w="4320"/>
            <w:shd w:val="clear" w:color="auto" w:fill="E8F0FE"/>
          </w:tcPr>
          <w:p>
            <w:r>
              <w:rPr>
                <w:b/>
              </w:rPr>
              <w:t>Pitfall</w:t>
            </w:r>
          </w:p>
        </w:tc>
        <w:tc>
          <w:tcPr>
            <w:tcW w:type="dxa" w:w="4320"/>
          </w:tcPr>
          <w:p>
            <w:r>
              <w:t>Continuous does not mean measure.</w:t>
            </w:r>
          </w:p>
        </w:tc>
      </w:tr>
    </w:tbl>
    <w:p>
      <w:pPr>
        <w:pStyle w:val="Heading3"/>
      </w:pPr>
      <w:r>
        <w:t>4.2.3 — Discrete date parts vs values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Date parts classify recurring members; date values preserve chronology.</w:t>
            </w:r>
          </w:p>
        </w:tc>
      </w:tr>
      <w:tr>
        <w:tc>
          <w:tcPr>
            <w:tcW w:type="dxa" w:w="4320"/>
            <w:shd w:val="clear" w:color="auto" w:fill="E8F0FE"/>
          </w:tcPr>
          <w:p>
            <w:r>
              <w:rPr>
                <w:b/>
              </w:rPr>
              <w:t>Use when</w:t>
            </w:r>
          </w:p>
        </w:tc>
        <w:tc>
          <w:tcPr>
            <w:tcW w:type="dxa" w:w="4320"/>
          </w:tcPr>
          <w:p>
            <w:r>
              <w:t>Use continuous dates for timelines and parts for seasonal grouping.</w:t>
            </w:r>
          </w:p>
        </w:tc>
      </w:tr>
      <w:tr>
        <w:tc>
          <w:tcPr>
            <w:tcW w:type="dxa" w:w="4320"/>
            <w:shd w:val="clear" w:color="auto" w:fill="E8F0FE"/>
          </w:tcPr>
          <w:p>
            <w:r>
              <w:rPr>
                <w:b/>
              </w:rPr>
              <w:t>Exam clue</w:t>
            </w:r>
          </w:p>
        </w:tc>
        <w:tc>
          <w:tcPr>
            <w:tcW w:type="dxa" w:w="4320"/>
          </w:tcPr>
          <w:p>
            <w:r>
              <w:t>Blue MONTH shows Jan-Dec; green MONTH spans time.</w:t>
            </w:r>
          </w:p>
        </w:tc>
      </w:tr>
      <w:tr>
        <w:tc>
          <w:tcPr>
            <w:tcW w:type="dxa" w:w="4320"/>
            <w:shd w:val="clear" w:color="auto" w:fill="E8F0FE"/>
          </w:tcPr>
          <w:p>
            <w:r>
              <w:rPr>
                <w:b/>
              </w:rPr>
              <w:t>Pitfall</w:t>
            </w:r>
          </w:p>
        </w:tc>
        <w:tc>
          <w:tcPr>
            <w:tcW w:type="dxa" w:w="4320"/>
          </w:tcPr>
          <w:p>
            <w:r>
              <w:t>Month-only can aggregate multiple years together.</w:t>
            </w:r>
          </w:p>
        </w:tc>
      </w:tr>
    </w:tbl>
    <w:p>
      <w:pPr>
        <w:pStyle w:val="Heading2"/>
      </w:pPr>
      <w:r>
        <w:t>Understand aggregations</w:t>
      </w:r>
    </w:p>
    <w:p>
      <w:pPr>
        <w:pStyle w:val="Heading3"/>
      </w:pPr>
      <w:r>
        <w:t>4.3.1 — Default aggregation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Measures aggregate to the current grain, commonly using SUM.</w:t>
            </w:r>
          </w:p>
        </w:tc>
      </w:tr>
      <w:tr>
        <w:tc>
          <w:tcPr>
            <w:tcW w:type="dxa" w:w="4320"/>
            <w:shd w:val="clear" w:color="auto" w:fill="E8F0FE"/>
          </w:tcPr>
          <w:p>
            <w:r>
              <w:rPr>
                <w:b/>
              </w:rPr>
              <w:t>Use when</w:t>
            </w:r>
          </w:p>
        </w:tc>
        <w:tc>
          <w:tcPr>
            <w:tcW w:type="dxa" w:w="4320"/>
          </w:tcPr>
          <w:p>
            <w:r>
              <w:t>Change to AVG, MIN, MAX, COUNT or another appropriate operation.</w:t>
            </w:r>
          </w:p>
        </w:tc>
      </w:tr>
      <w:tr>
        <w:tc>
          <w:tcPr>
            <w:tcW w:type="dxa" w:w="4320"/>
            <w:shd w:val="clear" w:color="auto" w:fill="E8F0FE"/>
          </w:tcPr>
          <w:p>
            <w:r>
              <w:rPr>
                <w:b/>
              </w:rPr>
              <w:t>Exam clue</w:t>
            </w:r>
          </w:p>
        </w:tc>
        <w:tc>
          <w:tcPr>
            <w:tcW w:type="dxa" w:w="4320"/>
          </w:tcPr>
          <w:p>
            <w:r>
              <w:t>The pill shows the active aggregation, such as SUM(Sales).</w:t>
            </w:r>
          </w:p>
        </w:tc>
      </w:tr>
      <w:tr>
        <w:tc>
          <w:tcPr>
            <w:tcW w:type="dxa" w:w="4320"/>
            <w:shd w:val="clear" w:color="auto" w:fill="E8F0FE"/>
          </w:tcPr>
          <w:p>
            <w:r>
              <w:rPr>
                <w:b/>
              </w:rPr>
              <w:t>Pitfall</w:t>
            </w:r>
          </w:p>
        </w:tc>
        <w:tc>
          <w:tcPr>
            <w:tcW w:type="dxa" w:w="4320"/>
          </w:tcPr>
          <w:p>
            <w:r>
              <w:t>Number format and aggregation are separate.</w:t>
            </w:r>
          </w:p>
        </w:tc>
      </w:tr>
    </w:tbl>
    <w:p>
      <w:pPr>
        <w:pStyle w:val="Heading3"/>
      </w:pPr>
      <w:r>
        <w:t>4.3.2 — How dimensions change aggregation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Each dimension partitions data into a finer detail.</w:t>
            </w:r>
          </w:p>
        </w:tc>
      </w:tr>
      <w:tr>
        <w:tc>
          <w:tcPr>
            <w:tcW w:type="dxa" w:w="4320"/>
            <w:shd w:val="clear" w:color="auto" w:fill="E8F0FE"/>
          </w:tcPr>
          <w:p>
            <w:r>
              <w:rPr>
                <w:b/>
              </w:rPr>
              <w:t>Use when</w:t>
            </w:r>
          </w:p>
        </w:tc>
        <w:tc>
          <w:tcPr>
            <w:tcW w:type="dxa" w:w="4320"/>
          </w:tcPr>
          <w:p>
            <w:r>
              <w:t>Use dimensions deliberately to answer the required breakdown.</w:t>
            </w:r>
          </w:p>
        </w:tc>
      </w:tr>
      <w:tr>
        <w:tc>
          <w:tcPr>
            <w:tcW w:type="dxa" w:w="4320"/>
            <w:shd w:val="clear" w:color="auto" w:fill="E8F0FE"/>
          </w:tcPr>
          <w:p>
            <w:r>
              <w:rPr>
                <w:b/>
              </w:rPr>
              <w:t>Exam clue</w:t>
            </w:r>
          </w:p>
        </w:tc>
        <w:tc>
          <w:tcPr>
            <w:tcW w:type="dxa" w:w="4320"/>
          </w:tcPr>
          <w:p>
            <w:r>
              <w:t>SUM(Sales) by Region differs from Region and Customer.</w:t>
            </w:r>
          </w:p>
        </w:tc>
      </w:tr>
      <w:tr>
        <w:tc>
          <w:tcPr>
            <w:tcW w:type="dxa" w:w="4320"/>
            <w:shd w:val="clear" w:color="auto" w:fill="E8F0FE"/>
          </w:tcPr>
          <w:p>
            <w:r>
              <w:rPr>
                <w:b/>
              </w:rPr>
              <w:t>Pitfall</w:t>
            </w:r>
          </w:p>
        </w:tc>
        <w:tc>
          <w:tcPr>
            <w:tcW w:type="dxa" w:w="4320"/>
          </w:tcPr>
          <w:p>
            <w:r>
              <w:t>Unexpected totals may signal duplicated model rows or unintended dimensions.</w:t>
            </w:r>
          </w:p>
        </w:tc>
      </w:tr>
    </w:tbl>
    <w:p>
      <w:r>
        <w:br w:type="page"/>
      </w:r>
    </w:p>
    <w:p>
      <w:pPr>
        <w:pStyle w:val="Heading2"/>
      </w:pPr>
      <w:r>
        <w:t>Lab 10 — Capstone: Northstar Retail Executive Workbook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Northstar Retail's COO needs an executive workbook that reconciles sales, returns, inventory and regional targets, then communicates actions across desktop and mobile.</w:t>
            </w:r>
          </w:p>
        </w:tc>
      </w:tr>
      <w:tr>
        <w:tc>
          <w:tcPr>
            <w:tcW w:type="dxa" w:w="4320"/>
            <w:shd w:val="clear" w:color="auto" w:fill="E8F0FE"/>
          </w:tcPr>
          <w:p>
            <w:r>
              <w:rPr>
                <w:b/>
              </w:rPr>
              <w:t>Goal</w:t>
            </w:r>
          </w:p>
        </w:tc>
        <w:tc>
          <w:tcPr>
            <w:tcW w:type="dxa" w:w="4320"/>
          </w:tcPr>
          <w:p>
            <w:r>
              <w:t>Integrate all four exam domains and complete certification-readiness evidence</w:t>
            </w:r>
          </w:p>
        </w:tc>
      </w:tr>
      <w:tr>
        <w:tc>
          <w:tcPr>
            <w:tcW w:type="dxa" w:w="4320"/>
            <w:shd w:val="clear" w:color="auto" w:fill="E8F0FE"/>
          </w:tcPr>
          <w:p>
            <w:r>
              <w:rPr>
                <w:b/>
              </w:rPr>
              <w:t>You will produce</w:t>
            </w:r>
          </w:p>
        </w:tc>
        <w:tc>
          <w:tcPr>
            <w:tcW w:type="dxa" w:w="4320"/>
          </w:tcPr>
          <w:p>
            <w:r>
              <w:t>A validated multi-table model, eight analytical worksheets, executive dashboard, phone layout, story, packaged workbook and exam-domain checklist</w:t>
            </w:r>
          </w:p>
        </w:tc>
      </w:tr>
      <w:tr>
        <w:tc>
          <w:tcPr>
            <w:tcW w:type="dxa" w:w="4320"/>
            <w:shd w:val="clear" w:color="auto" w:fill="E8F0FE"/>
          </w:tcPr>
          <w:p>
            <w:r>
              <w:rPr>
                <w:b/>
              </w:rPr>
              <w:t>Tools</w:t>
            </w:r>
          </w:p>
        </w:tc>
        <w:tc>
          <w:tcPr>
            <w:tcW w:type="dxa" w:w="4320"/>
          </w:tcPr>
          <w:p>
            <w:r>
              <w:t>Tableau Desktop · relationships · calculations · charts · dashboards · stories · TWBX</w:t>
            </w:r>
          </w:p>
        </w:tc>
      </w:tr>
      <w:tr>
        <w:tc>
          <w:tcPr>
            <w:tcW w:type="dxa" w:w="4320"/>
            <w:shd w:val="clear" w:color="auto" w:fill="E8F0FE"/>
          </w:tcPr>
          <w:p>
            <w:r>
              <w:rPr>
                <w:b/>
              </w:rPr>
              <w:t>Folder</w:t>
            </w:r>
          </w:p>
        </w:tc>
        <w:tc>
          <w:tcPr>
            <w:tcW w:type="dxa" w:w="4320"/>
          </w:tcPr>
          <w:p>
            <w:r>
              <w:t>labs/lab-10-capstone-northstar-retail-executive-workbook</w:t>
            </w:r>
          </w:p>
        </w:tc>
      </w:tr>
      <w:tr>
        <w:tc>
          <w:tcPr>
            <w:tcW w:type="dxa" w:w="4320"/>
            <w:shd w:val="clear" w:color="auto" w:fill="E8F0FE"/>
          </w:tcPr>
          <w:p>
            <w:r>
              <w:rPr>
                <w:b/>
              </w:rPr>
              <w:t>Excel workbook</w:t>
            </w:r>
          </w:p>
        </w:tc>
        <w:tc>
          <w:tcPr>
            <w:tcW w:type="dxa" w:w="4320"/>
          </w:tcPr>
          <w:p>
            <w:r>
              <w:t>Lab-10-Northstar-Retail-Capstone.xlsx</w:t>
            </w:r>
          </w:p>
        </w:tc>
      </w:tr>
      <w:tr>
        <w:tc>
          <w:tcPr>
            <w:tcW w:type="dxa" w:w="4320"/>
            <w:shd w:val="clear" w:color="auto" w:fill="E8F0FE"/>
          </w:tcPr>
          <w:p>
            <w:r>
              <w:rPr>
                <w:b/>
              </w:rPr>
              <w:t>Suggested time</w:t>
            </w:r>
          </w:p>
        </w:tc>
        <w:tc>
          <w:tcPr>
            <w:tcW w:type="dxa" w:w="4320"/>
          </w:tcPr>
          <w:p>
            <w:r>
              <w:t>100 minutes</w:t>
            </w:r>
          </w:p>
        </w:tc>
      </w:tr>
    </w:tbl>
    <w:p>
      <w:pPr>
        <w:pStyle w:val="Heading3"/>
      </w:pPr>
      <w:r>
        <w:t>Detailed Step-by-Step Procedure</w:t>
      </w:r>
    </w:p>
    <w:p>
      <w:pPr>
        <w:pStyle w:val="ListNumber"/>
      </w:pPr>
      <w:r>
        <w:rPr>
          <w:b/>
        </w:rPr>
        <w:t>Connect to Lab-10-Northstar-Retail-Capstone.xlsx.</w:t>
      </w:r>
    </w:p>
    <w:p>
      <w:pPr>
        <w:spacing w:after="120"/>
        <w:ind w:left="432"/>
      </w:pPr>
      <w:r>
        <w:t>Read the Executive Brief, Data Dictionary, table grains and Control totals.</w:t>
      </w:r>
    </w:p>
    <w:p>
      <w:pPr>
        <w:pStyle w:val="ListNumber"/>
      </w:pPr>
      <w:r>
        <w:rPr>
          <w:b/>
        </w:rPr>
        <w:t>Build the logical data model.</w:t>
      </w:r>
    </w:p>
    <w:p>
      <w:pPr>
        <w:spacing w:after="120"/>
        <w:ind w:left="432"/>
      </w:pPr>
      <w:r>
        <w:t>Relate Orders, Returns, Products, Stores and Monthly Targets with documented keys and grains.</w:t>
      </w:r>
    </w:p>
    <w:p>
      <w:pPr>
        <w:pStyle w:val="ListNumber"/>
      </w:pPr>
      <w:r>
        <w:rPr>
          <w:b/>
        </w:rPr>
        <w:t>Validate the source.</w:t>
      </w:r>
    </w:p>
    <w:p>
      <w:pPr>
        <w:spacing w:after="120"/>
        <w:ind w:left="432"/>
      </w:pPr>
      <w:r>
        <w:t>Check row counts, unmatched keys, duplicated sales, date range and control totals.</w:t>
      </w:r>
    </w:p>
    <w:p>
      <w:pPr>
        <w:pStyle w:val="ListNumber"/>
      </w:pPr>
      <w:r>
        <w:rPr>
          <w:b/>
        </w:rPr>
        <w:t>Create core calculations.</w:t>
      </w:r>
    </w:p>
    <w:p>
      <w:pPr>
        <w:spacing w:after="120"/>
        <w:ind w:left="432"/>
      </w:pPr>
      <w:r>
        <w:t>Net Sales, Gross Profit, Profit Ratio, Return Rate, Target Attainment and Days to Ship.</w:t>
      </w:r>
    </w:p>
    <w:p>
      <w:pPr>
        <w:pStyle w:val="ListNumber"/>
      </w:pPr>
      <w:r>
        <w:rPr>
          <w:b/>
        </w:rPr>
        <w:t>Demonstrate field concepts.</w:t>
      </w:r>
    </w:p>
    <w:p>
      <w:pPr>
        <w:spacing w:after="120"/>
        <w:ind w:left="432"/>
      </w:pPr>
      <w:r>
        <w:t>Document dimensions/measures, discrete/continuous date behaviour and aggregation changes.</w:t>
      </w:r>
    </w:p>
    <w:p>
      <w:pPr>
        <w:pStyle w:val="ListNumber"/>
      </w:pPr>
      <w:r>
        <w:rPr>
          <w:b/>
        </w:rPr>
        <w:t>Build eight worksheets.</w:t>
      </w:r>
    </w:p>
    <w:p>
      <w:pPr>
        <w:spacing w:after="120"/>
        <w:ind w:left="432"/>
      </w:pPr>
      <w:r>
        <w:t>KPI text table, regional bar, monthly line, product scatter, map, highlight table, return set analysis and target reference view.</w:t>
      </w:r>
    </w:p>
    <w:p>
      <w:pPr>
        <w:pStyle w:val="ListNumber"/>
      </w:pPr>
      <w:r>
        <w:rPr>
          <w:b/>
        </w:rPr>
        <w:t>Use groups, sets and a hierarchy.</w:t>
      </w:r>
    </w:p>
    <w:p>
      <w:pPr>
        <w:spacing w:after="120"/>
        <w:ind w:left="432"/>
      </w:pPr>
      <w:r>
        <w:t>Group store formats, create a Top-20 Products set and Region &gt; Country &gt; Store hierarchy.</w:t>
      </w:r>
    </w:p>
    <w:p>
      <w:pPr>
        <w:pStyle w:val="ListNumber"/>
      </w:pPr>
      <w:r>
        <w:rPr>
          <w:b/>
        </w:rPr>
        <w:t>Apply analytics.</w:t>
      </w:r>
    </w:p>
    <w:p>
      <w:pPr>
        <w:spacing w:after="120"/>
        <w:ind w:left="432"/>
      </w:pPr>
      <w:r>
        <w:t>Add a running total, percent of total, reference line, histogram and parameter-driven measure swap.</w:t>
      </w:r>
    </w:p>
    <w:p>
      <w:pPr>
        <w:pStyle w:val="ListNumber"/>
      </w:pPr>
      <w:r>
        <w:rPr>
          <w:b/>
        </w:rPr>
        <w:t>Build Executive Overview dashboard.</w:t>
      </w:r>
    </w:p>
    <w:p>
      <w:pPr>
        <w:spacing w:after="120"/>
        <w:ind w:left="432"/>
      </w:pPr>
      <w:r>
        <w:t>Use KPI tiles, four priority views, purposeful filters and at least two actions.</w:t>
      </w:r>
    </w:p>
    <w:p>
      <w:pPr>
        <w:pStyle w:val="ListNumber"/>
      </w:pPr>
      <w:r>
        <w:rPr>
          <w:b/>
        </w:rPr>
        <w:t>Create a phone layout.</w:t>
      </w:r>
    </w:p>
    <w:p>
      <w:pPr>
        <w:spacing w:after="120"/>
        <w:ind w:left="432"/>
      </w:pPr>
      <w:r>
        <w:t>Prioritise KPI, trend and exception list for the smaller screen.</w:t>
      </w:r>
    </w:p>
    <w:p>
      <w:pPr>
        <w:pStyle w:val="ListNumber"/>
      </w:pPr>
      <w:r>
        <w:rPr>
          <w:b/>
        </w:rPr>
        <w:t>Create a three-point story.</w:t>
      </w:r>
    </w:p>
    <w:p>
      <w:pPr>
        <w:spacing w:after="120"/>
        <w:ind w:left="432"/>
      </w:pPr>
      <w:r>
        <w:t>Performance, diagnostic evidence and recommended action.</w:t>
      </w:r>
    </w:p>
    <w:p>
      <w:pPr>
        <w:pStyle w:val="ListNumber"/>
      </w:pPr>
      <w:r>
        <w:rPr>
          <w:b/>
        </w:rPr>
        <w:t>Package and export.</w:t>
      </w:r>
    </w:p>
    <w:p>
      <w:pPr>
        <w:spacing w:after="120"/>
        <w:ind w:left="432"/>
      </w:pPr>
      <w:r>
        <w:t>Save TWBX; export PDF and PowerPoint snapshots labelled with the reporting period.</w:t>
      </w:r>
    </w:p>
    <w:p>
      <w:pPr>
        <w:pStyle w:val="ListNumber"/>
      </w:pPr>
      <w:r>
        <w:rPr>
          <w:b/>
        </w:rPr>
        <w:t>Complete the Exam Domain Matrix.</w:t>
      </w:r>
    </w:p>
    <w:p>
      <w:pPr>
        <w:spacing w:after="120"/>
        <w:ind w:left="432"/>
      </w:pPr>
      <w:r>
        <w:t>For every official objective, cite the workbook sheet or lab evidence that proves readiness.</w:t>
      </w:r>
    </w:p>
    <w:p>
      <w:pPr>
        <w:pStyle w:val="ListNumber"/>
      </w:pPr>
      <w:r>
        <w:rPr>
          <w:b/>
        </w:rPr>
        <w:t>Run the acceptance checklist.</w:t>
      </w:r>
    </w:p>
    <w:p>
      <w:pPr>
        <w:spacing w:after="120"/>
        <w:ind w:left="432"/>
      </w:pPr>
      <w:r>
        <w:t>Test default, filter, action, clear, mobile, export and underlying-data states.</w:t>
      </w:r>
    </w:p>
    <w:p>
      <w:pPr>
        <w:pStyle w:val="ListNumber"/>
      </w:pPr>
      <w:r>
        <w:rPr>
          <w:b/>
        </w:rPr>
        <w:t>Save as Lab-10-Northstar-Capstone.twbx.</w:t>
      </w:r>
    </w:p>
    <w:p>
      <w:pPr>
        <w:spacing w:after="120"/>
        <w:ind w:left="432"/>
      </w:pPr>
      <w:r>
        <w:t>Submit the workbook, exports, validation evidence and readiness matrix.</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Control totals reconcile, the model avoids duplicated measures, all eight worksheets and required analytics exist, dashboard/actions work on desktop and phone, exports are current, and every official objective has evidence.</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Quick Tableau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Term</w:t>
            </w:r>
          </w:p>
        </w:tc>
        <w:tc>
          <w:tcPr>
            <w:tcW w:type="dxa" w:w="4320"/>
            <w:shd w:val="clear" w:color="auto" w:fill="1F6FEB"/>
          </w:tcPr>
          <w:p>
            <w:r>
              <w:rPr>
                <w:b/>
                <w:color w:val="FFFFFF"/>
              </w:rPr>
              <w:t>Meaning</w:t>
            </w:r>
          </w:p>
        </w:tc>
      </w:tr>
      <w:tr>
        <w:tc>
          <w:tcPr>
            <w:tcW w:type="dxa" w:w="4320"/>
          </w:tcPr>
          <w:p>
            <w:r>
              <w:rPr>
                <w:b/>
              </w:rPr>
              <w:t>Live connection</w:t>
            </w:r>
          </w:p>
        </w:tc>
        <w:tc>
          <w:tcPr>
            <w:tcW w:type="dxa" w:w="4320"/>
          </w:tcPr>
          <w:p>
            <w:r>
              <w:t>Queries source on interaction; prioritises freshness.</w:t>
            </w:r>
          </w:p>
        </w:tc>
      </w:tr>
      <w:tr>
        <w:tc>
          <w:tcPr>
            <w:tcW w:type="dxa" w:w="4320"/>
          </w:tcPr>
          <w:p>
            <w:r>
              <w:rPr>
                <w:b/>
              </w:rPr>
              <w:t>Extract (.hyper)</w:t>
            </w:r>
          </w:p>
        </w:tc>
        <w:tc>
          <w:tcPr>
            <w:tcW w:type="dxa" w:w="4320"/>
          </w:tcPr>
          <w:p>
            <w:r>
              <w:t>Local analytical snapshot; refresh to update.</w:t>
            </w:r>
          </w:p>
        </w:tc>
      </w:tr>
      <w:tr>
        <w:tc>
          <w:tcPr>
            <w:tcW w:type="dxa" w:w="4320"/>
          </w:tcPr>
          <w:p>
            <w:r>
              <w:rPr>
                <w:b/>
              </w:rPr>
              <w:t>.twb / .twbx</w:t>
            </w:r>
          </w:p>
        </w:tc>
        <w:tc>
          <w:tcPr>
            <w:tcW w:type="dxa" w:w="4320"/>
          </w:tcPr>
          <w:p>
            <w:r>
              <w:t>Workbook XML / packaged workbook with local dependencies.</w:t>
            </w:r>
          </w:p>
        </w:tc>
      </w:tr>
      <w:tr>
        <w:tc>
          <w:tcPr>
            <w:tcW w:type="dxa" w:w="4320"/>
          </w:tcPr>
          <w:p>
            <w:r>
              <w:rPr>
                <w:b/>
              </w:rPr>
              <w:t>.tds / .tdsx</w:t>
            </w:r>
          </w:p>
        </w:tc>
        <w:tc>
          <w:tcPr>
            <w:tcW w:type="dxa" w:w="4320"/>
          </w:tcPr>
          <w:p>
            <w:r>
              <w:t>Data-source metadata / packaged data source.</w:t>
            </w:r>
          </w:p>
        </w:tc>
      </w:tr>
      <w:tr>
        <w:tc>
          <w:tcPr>
            <w:tcW w:type="dxa" w:w="4320"/>
          </w:tcPr>
          <w:p>
            <w:r>
              <w:rPr>
                <w:b/>
              </w:rPr>
              <w:t>Relationship</w:t>
            </w:r>
          </w:p>
        </w:tc>
        <w:tc>
          <w:tcPr>
            <w:tcW w:type="dxa" w:w="4320"/>
          </w:tcPr>
          <w:p>
            <w:r>
              <w:t>Logical, context-aware combination preserving table grains.</w:t>
            </w:r>
          </w:p>
        </w:tc>
      </w:tr>
      <w:tr>
        <w:tc>
          <w:tcPr>
            <w:tcW w:type="dxa" w:w="4320"/>
          </w:tcPr>
          <w:p>
            <w:r>
              <w:rPr>
                <w:b/>
              </w:rPr>
              <w:t>Join</w:t>
            </w:r>
          </w:p>
        </w:tc>
        <w:tc>
          <w:tcPr>
            <w:tcW w:type="dxa" w:w="4320"/>
          </w:tcPr>
          <w:p>
            <w:r>
              <w:t>Physical row combination with fixed join type and clauses.</w:t>
            </w:r>
          </w:p>
        </w:tc>
      </w:tr>
      <w:tr>
        <w:tc>
          <w:tcPr>
            <w:tcW w:type="dxa" w:w="4320"/>
          </w:tcPr>
          <w:p>
            <w:r>
              <w:rPr>
                <w:b/>
              </w:rPr>
              <w:t>Union</w:t>
            </w:r>
          </w:p>
        </w:tc>
        <w:tc>
          <w:tcPr>
            <w:tcW w:type="dxa" w:w="4320"/>
          </w:tcPr>
          <w:p>
            <w:r>
              <w:t>Vertical append of similarly structured rows.</w:t>
            </w:r>
          </w:p>
        </w:tc>
      </w:tr>
      <w:tr>
        <w:tc>
          <w:tcPr>
            <w:tcW w:type="dxa" w:w="4320"/>
          </w:tcPr>
          <w:p>
            <w:r>
              <w:rPr>
                <w:b/>
              </w:rPr>
              <w:t>Dimension / Measure</w:t>
            </w:r>
          </w:p>
        </w:tc>
        <w:tc>
          <w:tcPr>
            <w:tcW w:type="dxa" w:w="4320"/>
          </w:tcPr>
          <w:p>
            <w:r>
              <w:t>Analytical role: slice/label versus quantify/aggregate.</w:t>
            </w:r>
          </w:p>
        </w:tc>
      </w:tr>
      <w:tr>
        <w:tc>
          <w:tcPr>
            <w:tcW w:type="dxa" w:w="4320"/>
          </w:tcPr>
          <w:p>
            <w:r>
              <w:rPr>
                <w:b/>
              </w:rPr>
              <w:t>Discrete / Continuous</w:t>
            </w:r>
          </w:p>
        </w:tc>
        <w:tc>
          <w:tcPr>
            <w:tcW w:type="dxa" w:w="4320"/>
          </w:tcPr>
          <w:p>
            <w:r>
              <w:t>Display behaviour: blue headers versus green axes.</w:t>
            </w:r>
          </w:p>
        </w:tc>
      </w:tr>
      <w:tr>
        <w:tc>
          <w:tcPr>
            <w:tcW w:type="dxa" w:w="4320"/>
          </w:tcPr>
          <w:p>
            <w:r>
              <w:rPr>
                <w:b/>
              </w:rPr>
              <w:t>Table calculation</w:t>
            </w:r>
          </w:p>
        </w:tc>
        <w:tc>
          <w:tcPr>
            <w:tcW w:type="dxa" w:w="4320"/>
          </w:tcPr>
          <w:p>
            <w:r>
              <w:t>View-dependent calculation over returned marks.</w:t>
            </w:r>
          </w:p>
        </w:tc>
      </w:tr>
      <w:tr>
        <w:tc>
          <w:tcPr>
            <w:tcW w:type="dxa" w:w="4320"/>
          </w:tcPr>
          <w:p>
            <w:r>
              <w:rPr>
                <w:b/>
              </w:rPr>
              <w:t>Parameter</w:t>
            </w:r>
          </w:p>
        </w:tc>
        <w:tc>
          <w:tcPr>
            <w:tcW w:type="dxa" w:w="4320"/>
          </w:tcPr>
          <w:p>
            <w:r>
              <w:t>Single user-controlled workbook value; requires a consumer calculation/object.</w:t>
            </w:r>
          </w:p>
        </w:tc>
      </w:tr>
      <w:tr>
        <w:tc>
          <w:tcPr>
            <w:tcW w:type="dxa" w:w="4320"/>
          </w:tcPr>
          <w:p>
            <w:r>
              <w:rPr>
                <w:b/>
              </w:rPr>
              <w:t>Dashboard action</w:t>
            </w:r>
          </w:p>
        </w:tc>
        <w:tc>
          <w:tcPr>
            <w:tcW w:type="dxa" w:w="4320"/>
          </w:tcPr>
          <w:p>
            <w:r>
              <w:t>Filter, highlight, URL, parameter or set response to user events.</w:t>
            </w:r>
          </w:p>
        </w:tc>
      </w:tr>
    </w:tbl>
    <w:p>
      <w:pPr>
        <w:pStyle w:val="Heading1"/>
      </w:pPr>
      <w:r>
        <w:t>Certification Preparation</w:t>
      </w:r>
    </w:p>
    <w:p>
      <w:pPr>
        <w:pStyle w:val="ListBullet"/>
      </w:pPr>
      <w:r>
        <w:t>Work through every official objective in Topics 1–4 and explain the result without relying on menu memory.</w:t>
      </w:r>
    </w:p>
    <w:p>
      <w:pPr>
        <w:pStyle w:val="ListBullet"/>
      </w:pPr>
      <w:r>
        <w:t>Repeat all eleven labs in a clean workbook; use the acceptance tests to prove correctness.</w:t>
      </w:r>
    </w:p>
    <w:p>
      <w:pPr>
        <w:pStyle w:val="ListBullet"/>
      </w:pPr>
      <w:r>
        <w:t>Practise recognising pill colour, field role, view grain and filter order from screenshots and scenarios.</w:t>
      </w:r>
    </w:p>
    <w:p>
      <w:pPr>
        <w:pStyle w:val="ListBullet"/>
      </w:pPr>
      <w:r>
        <w:t>Read the official exam guide for current exam format, product version, timing and policies.</w:t>
      </w:r>
    </w:p>
    <w:p>
      <w:pPr>
        <w:pStyle w:val="ListBullet"/>
      </w:pPr>
      <w:r>
        <w:t>Use Tableau's official free training videos for connection, workspace, concepts, dashboards, mapping and calculations.</w:t>
      </w:r>
    </w:p>
    <w:p>
      <w:r>
        <w:t xml:space="preserve">Official exam guide: </w:t>
      </w:r>
      <w:hyperlink r:id="rId10">
        <w:r>
          <w:rPr>
            <w:color w:val="1F6FEB"/>
            <w:u w:val="single"/>
          </w:rPr>
          <w:t>https://help.salesforce.com/s/articleView?id=005298988&amp;type=1&amp;language=en_US</w:t>
        </w:r>
      </w:hyperlink>
    </w:p>
    <w:p>
      <w:r>
        <w:t xml:space="preserve">Official Tableau training: </w:t>
      </w:r>
      <w:hyperlink r:id="rId11">
        <w:r>
          <w:rPr>
            <w:color w:val="1F6FEB"/>
            <w:u w:val="single"/>
          </w:rPr>
          <w:t>https://www.tableau.com/learn/training</w:t>
        </w:r>
      </w:hyperlink>
    </w:p>
    <w:p>
      <w:pPr>
        <w:pStyle w:val="Heading1"/>
      </w:pPr>
      <w:r>
        <w:t>Support</w:t>
      </w:r>
    </w:p>
    <w:p>
      <w:r>
        <w:t xml:space="preserve">Course labs and materials: </w:t>
      </w:r>
      <w:hyperlink r:id="rId12">
        <w:r>
          <w:rPr>
            <w:color w:val="1F6FEB"/>
            <w:u w:val="single"/>
          </w:rPr>
          <w:t>https://github.com/tertiarycourses/C181-Tableau-Data-Prep-Masterclass</w:t>
        </w:r>
      </w:hyperlink>
    </w:p>
    <w:p>
      <w:r>
        <w:t>Support: enquiry@tertiaryinfotech.com · +65 6100 0613 · www.tertiarycourses.com.sg</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help.salesforce.com/s/articleView?id=005298988&amp;type=1&amp;language=en_US" TargetMode="External"/><Relationship Id="rId11" Type="http://schemas.openxmlformats.org/officeDocument/2006/relationships/hyperlink" Target="https://www.tableau.com/learn/training" TargetMode="External"/><Relationship Id="rId12" Type="http://schemas.openxmlformats.org/officeDocument/2006/relationships/hyperlink" Target="https://github.com/tertiarycourses/C181-Tableau-Data-Prep-Masterclas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