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Choose and Activate the Right Claude Surface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Claude surface should each planning, analysis and communication task use?</w:t>
            </w:r>
          </w:p>
        </w:tc>
      </w:tr>
    </w:tbl>
    <w:p>
      <w:pPr>
        <w:pStyle w:val="Heading1"/>
      </w:pPr>
      <w:r>
        <w:t>Management outcome</w:t>
      </w:r>
    </w:p>
    <w:p>
      <w:r>
        <w:t>Select and activate the Claude surface that fits a governed Lumina Living task.</w:t>
      </w:r>
    </w:p>
    <w:p>
      <w:pPr>
        <w:pStyle w:val="Heading1"/>
      </w:pPr>
      <w:r>
        <w:t>Evidence boundary</w:t>
      </w:r>
    </w:p>
    <w:p>
      <w:r>
        <w:t>IT acceptable-use note; Microsoft 365 tenant capability register; FY2027 planning brief</w:t>
      </w:r>
    </w:p>
    <w:p>
      <w:pPr>
        <w:pStyle w:val="Heading1"/>
      </w:pPr>
      <w:r>
        <w:t>Approval</w:t>
      </w:r>
    </w:p>
    <w:p>
      <w:r>
        <w:t>Final approval: Chief Operating Officer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