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1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Choose and Activate the Right Claude Surface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Which Claude surface should each planning, analysis and communication task use?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Business Transformation Office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Choose a safe operating surface for the FY2027 planning pack before granting or requesting access.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IT acceptable-use note</w:t>
      </w:r>
    </w:p>
    <w:p>
      <w:pPr>
        <w:pStyle w:val="ListBullet"/>
      </w:pPr>
      <w:r>
        <w:t>Microsoft 365 tenant capability register</w:t>
      </w:r>
    </w:p>
    <w:p>
      <w:pPr>
        <w:pStyle w:val="ListBullet"/>
      </w:pPr>
      <w:r>
        <w:t>FY2027 planning brief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Surface decision matrix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Readiness log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Escalation path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Users ready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users ready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Add-ins available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add-ins available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Connector consent status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connector consent 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Fallback tested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fallback tested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No shared password in learner files</w:t>
      </w:r>
    </w:p>
    <w:p>
      <w:pPr>
        <w:pStyle w:val="ListBullet"/>
      </w:pPr>
      <w:r>
        <w:t>No permission bypass</w:t>
      </w:r>
    </w:p>
    <w:p>
      <w:pPr>
        <w:pStyle w:val="ListBullet"/>
      </w:pPr>
      <w:r>
        <w:t>Named system owner 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