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3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Build an Auditable Prompt and Review Contract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prompt elements are mandatory for a company-standard AI workflow?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Business Transformation Office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Director, Strategy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Create a prompt standard that works across the full Lumina Living planning pack.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FY2027 planning brief</w:t>
      </w:r>
    </w:p>
    <w:p>
      <w:pPr>
        <w:pStyle w:val="ListBullet"/>
      </w:pPr>
      <w:r>
        <w:t>Company style guide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Approval matrix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Prompt library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Director, Strategy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Test log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Director, Strategy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Approval checklist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Director, Strategy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Prompt pass rate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prompt pass 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Citations present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citations present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Unsupported claims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unsupported claims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Review time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review 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unstated assumptions</w:t>
      </w:r>
    </w:p>
    <w:p>
      <w:pPr>
        <w:pStyle w:val="ListBullet"/>
      </w:pPr>
      <w:r>
        <w:t>No fabricated citations</w:t>
      </w:r>
    </w:p>
    <w:p>
      <w:pPr>
        <w:pStyle w:val="ListBullet"/>
      </w:pPr>
      <w:r>
        <w:t>Smallest useful edit</w:t>
      </w:r>
    </w:p>
    <w:p>
      <w:pPr>
        <w:pStyle w:val="ListBullet"/>
      </w:pPr>
      <w:r>
        <w:t>Human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