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CLAUDE-GENERATED WORK SAMPLE</w:t>
      </w:r>
    </w:p>
    <w:p>
      <w:pPr>
        <w:pStyle w:val="Title"/>
      </w:pPr>
      <w:r>
        <w:t>Develop a Strategic Plan with Owners and Measures</w:t>
      </w:r>
    </w:p>
    <w:p>
      <w:r>
        <w:rPr>
          <w:b/>
          <w:color w:val="10B981"/>
        </w:rPr>
        <w:t>Lumina Living Pte Ltd · Illustrative reviewed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Management outcome  </w:t>
            </w:r>
            <w:r>
              <w:t>Which strategic choices and initiatives should the Executive Committee approve?</w:t>
            </w:r>
          </w:p>
        </w:tc>
      </w:tr>
    </w:tbl>
    <w:p>
      <w:pPr>
        <w:pStyle w:val="Heading1"/>
      </w:pPr>
      <w:r>
        <w:t>Strategic ambition</w:t>
      </w:r>
    </w:p>
    <w:p>
      <w:r>
        <w:t>Build a profitable omnichannel growth engine with a differentiated home-lifestyle proposition.</w:t>
      </w:r>
    </w:p>
    <w:p>
      <w:pPr>
        <w:pStyle w:val="Heading1"/>
      </w:pPr>
      <w:r>
        <w:t>Strategic choices</w:t>
      </w:r>
    </w:p>
    <w:p>
      <w:r>
        <w:t>Win in curated ranges, integrate customer journeys and strengthen commercial execution.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Finding / choice</w:t>
            </w:r>
          </w:p>
        </w:tc>
        <w:tc>
          <w:tcPr>
            <w:tcW w:type="dxa" w:w="3456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296"/>
            <w:shd w:fill="1F6FEB"/>
          </w:tcPr>
          <w:p>
            <w:r>
              <w:rPr>
                <w:b/>
                <w:color w:val="FFFFFF"/>
                <w:sz w:val="18"/>
              </w:rPr>
              <w:t>Next review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Strategic choices item 1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CEO ambition note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Q1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Strategic choices item 2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Commercial performance summary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Q2 FY2027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Strategic choices item 3</w:t>
            </w:r>
          </w:p>
        </w:tc>
        <w:tc>
          <w:tcPr>
            <w:tcW w:type="dxa" w:w="3456"/>
          </w:tcPr>
          <w:p>
            <w:r>
              <w:rPr>
                <w:sz w:val="17"/>
              </w:rPr>
              <w:t>Operations capability review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Corporate Strategy</w:t>
            </w:r>
          </w:p>
        </w:tc>
        <w:tc>
          <w:tcPr>
            <w:tcW w:type="dxa" w:w="1296"/>
          </w:tcPr>
          <w:p>
            <w:r>
              <w:rPr>
                <w:sz w:val="17"/>
              </w:rPr>
              <w:t>Q3 FY2027</w:t>
            </w:r>
          </w:p>
        </w:tc>
      </w:tr>
    </w:tbl>
    <w:p>
      <w:pPr>
        <w:pStyle w:val="Heading1"/>
      </w:pPr>
      <w:r>
        <w:t>Governance</w:t>
      </w:r>
    </w:p>
    <w:p>
      <w:r>
        <w:t>Six initiatives report through a quarterly scorecard with explicit dependencies and risk owners.</w:t>
      </w:r>
    </w:p>
    <w:p>
      <w:pPr>
        <w:pStyle w:val="Heading1"/>
      </w:pPr>
      <w:r>
        <w:t>Source and approval note</w:t>
      </w:r>
    </w:p>
    <w:p>
      <w:r>
        <w:t>Illustrative output generated for training from fictional Lumina Living sources. Figures and claims require source reconciliation. Release status: Pending named human approval.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