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5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Develop a Strategic Plan with Owners and Measures</w:t>
      </w:r>
    </w:p>
    <w:p>
      <w:r>
        <w:rPr>
          <w:b/>
          <w:color w:val="5B6372"/>
        </w:rPr>
        <w:t>FICTIONAL COMPANY TRAINING MATERIAL · FY2027 PLANNING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Decision required  </w:t>
            </w:r>
            <w:r>
              <w:t>Which strategic choices and initiatives should the Executive Committee approve?</w:t>
            </w:r>
          </w:p>
        </w:tc>
      </w:tr>
    </w:tbl>
    <w:p>
      <w:pPr>
        <w:pStyle w:val="Heading1"/>
      </w:pPr>
      <w:r>
        <w:t>1. Company and mandate</w:t>
      </w:r>
    </w:p>
    <w:p>
      <w:r>
        <w:t>Lumina Living is a fictional Singapore omnichannel home-and-lifestyle company with retail, e-commerce and marketplace operations. Learners join its Business Transformation Office to prepare an integrated FY2027 planning and management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6FEB"/>
          </w:tcPr>
          <w:p>
            <w:r>
              <w:rPr>
                <w:b/>
                <w:color w:val="FFFFFF"/>
                <w:sz w:val="18"/>
              </w:rPr>
              <w:t>Company detail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Corporate Strategy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Executive sponsor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Chief Executive Officer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challenge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Align growth, profitability, customer experience and operating capability for FY2027–FY2029.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FY2027 with Q1 execution milestones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Draft for classroom management review</w:t>
            </w:r>
          </w:p>
        </w:tc>
      </w:tr>
    </w:tbl>
    <w:p>
      <w:pPr>
        <w:pStyle w:val="Heading1"/>
      </w:pPr>
      <w:r>
        <w:t>2. Evidence available</w:t>
      </w:r>
    </w:p>
    <w:p>
      <w:pPr>
        <w:pStyle w:val="ListBullet"/>
      </w:pPr>
      <w:r>
        <w:t>CEO ambition note</w:t>
      </w:r>
    </w:p>
    <w:p>
      <w:pPr>
        <w:pStyle w:val="ListBullet"/>
      </w:pPr>
      <w:r>
        <w:t>Commercial performance summary</w:t>
      </w:r>
    </w:p>
    <w:p>
      <w:pPr>
        <w:pStyle w:val="ListBullet"/>
      </w:pPr>
      <w:r>
        <w:t>Operations capability review</w:t>
      </w:r>
    </w:p>
    <w:p>
      <w:pPr>
        <w:pStyle w:val="ListBullet"/>
      </w:pPr>
      <w:r>
        <w:t>Risk register</w:t>
      </w:r>
    </w:p>
    <w:p>
      <w:pPr>
        <w:pStyle w:val="Heading1"/>
      </w:pPr>
      <w:r>
        <w:t>3. Required management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fill="1F6FEB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Strategy-on-a-page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Executive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Initiative portfolio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Executive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Balanced scorecard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Executive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Quarterly review cadence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Executive Officer</w:t>
            </w:r>
          </w:p>
        </w:tc>
      </w:tr>
    </w:tbl>
    <w:p>
      <w:pPr>
        <w:pStyle w:val="Heading1"/>
      </w:pPr>
      <w:r>
        <w:t>4.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888"/>
            <w:shd w:fill="1F6FE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Source owner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Revenue CAGR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revenue cagr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Gross margin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gross margin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Net promoter score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net promoter score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Digital share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digital share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Inventory turns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inventory turns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Employee capability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employee capability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</w:tbl>
    <w:p>
      <w:pPr>
        <w:pStyle w:val="Heading1"/>
      </w:pPr>
      <w:r>
        <w:t>5. Controls and approval</w:t>
      </w:r>
    </w:p>
    <w:p>
      <w:pPr>
        <w:pStyle w:val="ListBullet"/>
      </w:pPr>
      <w:r>
        <w:t>Explicit trade-offs</w:t>
      </w:r>
    </w:p>
    <w:p>
      <w:pPr>
        <w:pStyle w:val="ListBullet"/>
      </w:pPr>
      <w:r>
        <w:t>Named owners</w:t>
      </w:r>
    </w:p>
    <w:p>
      <w:pPr>
        <w:pStyle w:val="ListBullet"/>
      </w:pPr>
      <w:r>
        <w:t>Target source</w:t>
      </w:r>
    </w:p>
    <w:p>
      <w:pPr>
        <w:pStyle w:val="ListBullet"/>
      </w:pPr>
      <w:r>
        <w:t>Risk dependency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vAlign w:val="center"/>
          </w:tcPr>
          <w:p>
            <w:r>
              <w:rPr>
                <w:b/>
                <w:color w:val="1F6FEB"/>
              </w:rPr>
              <w:t xml:space="preserve">Evidence rule  </w:t>
            </w:r>
            <w:r>
              <w:t>Facts cite their source; calculations cite workbook cells; assumptions name an owner and review date; final release requires the named sponsor.</w:t>
            </w:r>
          </w:p>
        </w:tc>
      </w:tr>
    </w:tbl>
    <w:p>
      <w:pPr>
        <w:pStyle w:val="Heading1"/>
      </w:pPr>
      <w:r>
        <w:t>6. Management questions</w:t>
      </w:r>
    </w:p>
    <w:p>
      <w:pPr>
        <w:pStyle w:val="ListNumber"/>
      </w:pPr>
      <w:r>
        <w:t>What decision must be made, and by whom?</w:t>
      </w:r>
    </w:p>
    <w:p>
      <w:pPr>
        <w:pStyle w:val="ListNumber"/>
      </w:pPr>
      <w:r>
        <w:t>Which evidence is authoritative?</w:t>
      </w:r>
    </w:p>
    <w:p>
      <w:pPr>
        <w:pStyle w:val="ListNumber"/>
      </w:pPr>
      <w:r>
        <w:t>Which assumption could change the recommendation?</w:t>
      </w:r>
    </w:p>
    <w:p>
      <w:pPr>
        <w:pStyle w:val="ListNumber"/>
      </w:pPr>
      <w:r>
        <w:t>What action, owner and date follow from approval?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