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Draft Sustainability Reporting and HR Policy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Is the evidence and control environment strong enough for internal release?</w:t>
            </w:r>
          </w:p>
        </w:tc>
      </w:tr>
    </w:tbl>
    <w:p>
      <w:pPr>
        <w:pStyle w:val="Heading1"/>
      </w:pPr>
      <w:r>
        <w:t>Reporting boundary</w:t>
      </w:r>
    </w:p>
    <w:p>
      <w:r>
        <w:t>Singapore retail, office and directly controlled e-commerce operations for FY2026.</w:t>
      </w:r>
    </w:p>
    <w:p>
      <w:pPr>
        <w:pStyle w:val="Heading1"/>
      </w:pPr>
      <w:r>
        <w:t>Sustainability performance</w:t>
      </w:r>
    </w:p>
    <w:p>
      <w:r>
        <w:t>Energy and waste movements are reported with method notes and limitations; no unsupported green claim is made.</w:t>
      </w:r>
    </w:p>
    <w:p>
      <w:pPr>
        <w:pStyle w:val="Heading1"/>
      </w:pPr>
      <w:r>
        <w:t>Flexible-work policy</w:t>
      </w:r>
    </w:p>
    <w:p>
      <w:r>
        <w:t>Eligibility is role-based, decisions are documented and exceptions have a transparent review route.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