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6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Draft Sustainability Reporting and HR Policy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Is the evidence and control environment strong enough for internal release?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Sustainability and People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People and Sustainability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Prepare credible FY2026 sustainability commentary and a flexible-work policy for management review.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Energy and waste register</w:t>
      </w:r>
    </w:p>
    <w:p>
      <w:pPr>
        <w:pStyle w:val="ListBullet"/>
      </w:pPr>
      <w:r>
        <w:t>Travel summary</w:t>
      </w:r>
    </w:p>
    <w:p>
      <w:pPr>
        <w:pStyle w:val="ListBullet"/>
      </w:pPr>
      <w:r>
        <w:t>Workforce profile</w:t>
      </w:r>
    </w:p>
    <w:p>
      <w:pPr>
        <w:pStyle w:val="ListBullet"/>
      </w:pPr>
      <w:r>
        <w:t>Flexible-work pilot feedback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Sustainability report section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People and Sustainability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Metric register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People and Sustainability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Flexible-work policy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People and Sustainability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Review record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People and Sustainability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Electricity intensity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electricity intensity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Sustainability and People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Waste diversion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waste diversion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Sustainability and People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travel emissions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business travel emissions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Sustainability and People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Training hours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training hours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Sustainability and People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Policy participation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policy participation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Sustainability and People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Reporting boundary</w:t>
      </w:r>
    </w:p>
    <w:p>
      <w:pPr>
        <w:pStyle w:val="ListBullet"/>
      </w:pPr>
      <w:r>
        <w:t>Method note</w:t>
      </w:r>
    </w:p>
    <w:p>
      <w:pPr>
        <w:pStyle w:val="ListBullet"/>
      </w:pPr>
      <w:r>
        <w:t>No green claims without evidence</w:t>
      </w:r>
    </w:p>
    <w:p>
      <w:pPr>
        <w:pStyle w:val="ListBullet"/>
      </w:pPr>
      <w:r>
        <w:t>HR and legal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