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Build Financial Analysis and an Excel Dashboard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revenue, margin and cost actions should management prioritise?</w:t>
            </w:r>
          </w:p>
        </w:tc>
      </w:tr>
    </w:tbl>
    <w:p>
      <w:pPr>
        <w:pStyle w:val="Heading1"/>
      </w:pPr>
      <w:r>
        <w:t>CFO headline</w:t>
      </w:r>
    </w:p>
    <w:p>
      <w:r>
        <w:t>Revenue finished ahead of budget, but contribution quality differs materially by channel.</w:t>
      </w:r>
    </w:p>
    <w:p>
      <w:pPr>
        <w:pStyle w:val="Heading1"/>
      </w:pPr>
      <w:r>
        <w:t>Driver</w:t>
      </w:r>
    </w:p>
    <w:p>
      <w:r>
        <w:t>Digital growth supported the top line while discount and fulfilment economics weakened selected contribution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Finding / choice</w:t>
            </w:r>
          </w:p>
        </w:tc>
        <w:tc>
          <w:tcPr>
            <w:tcW w:type="dxa" w:w="3456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F6FEB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Driver item 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FY2026 transaction ledger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Q1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Driver item 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Monthly budget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Q2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Driver item 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 cost table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Q3 FY2027</w:t>
            </w:r>
          </w:p>
        </w:tc>
      </w:tr>
    </w:tbl>
    <w:p>
      <w:pPr>
        <w:pStyle w:val="Heading1"/>
      </w:pPr>
      <w:r>
        <w:t>Decision</w:t>
      </w:r>
    </w:p>
    <w:p>
      <w:r>
        <w:t>Protect margin through targeted discount controls and channel-specific action owners.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