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10B981"/>
          <w:sz w:val="17"/>
        </w:rPr>
        <w:t>C197 · LAB 8 · COMPANY SOURCE</w:t>
      </w:r>
    </w:p>
    <w:p>
      <w:pPr>
        <w:pStyle w:val="Title"/>
      </w:pPr>
      <w:r>
        <w:t>Lumina Living Pte Ltd</w:t>
      </w:r>
    </w:p>
    <w:p>
      <w:r>
        <w:rPr>
          <w:b/>
          <w:color w:val="10B981"/>
          <w:sz w:val="36"/>
        </w:rPr>
        <w:t>Create an Executive Strategy and Marketing Deck</w:t>
      </w:r>
    </w:p>
    <w:p>
      <w:r>
        <w:rPr>
          <w:b/>
          <w:color w:val="5B6372"/>
        </w:rPr>
        <w:t>FICTIONAL COMPANY TRAINING MATERIAL · FY2027 PLANNING CYCLE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8F3"/>
            <w:vAlign w:val="center"/>
          </w:tcPr>
          <w:p>
            <w:r>
              <w:rPr>
                <w:b/>
                <w:color w:val="1F6FEB"/>
              </w:rPr>
              <w:t xml:space="preserve">Decision required  </w:t>
            </w:r>
            <w:r>
              <w:t>Approve the strategic choices, marketing allocation, financial guardrails and owners.</w:t>
            </w:r>
          </w:p>
        </w:tc>
      </w:tr>
    </w:tbl>
    <w:p>
      <w:pPr>
        <w:pStyle w:val="Heading1"/>
      </w:pPr>
      <w:r>
        <w:t>1. Company and mandate</w:t>
      </w:r>
    </w:p>
    <w:p>
      <w:r>
        <w:t>Lumina Living is a fictional Singapore omnichannel home-and-lifestyle company with retail, e-commerce and marketplace operations. Learners join its Business Transformation Office to prepare an integrated FY2027 planning and management pack.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04"/>
            <w:shd w:fill="1F6FE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488"/>
            <w:shd w:fill="1F6FEB"/>
          </w:tcPr>
          <w:p>
            <w:r>
              <w:rPr>
                <w:b/>
                <w:color w:val="FFFFFF"/>
                <w:sz w:val="18"/>
              </w:rPr>
              <w:t>Company detail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Department</w:t>
            </w:r>
          </w:p>
        </w:tc>
        <w:tc>
          <w:tcPr>
            <w:tcW w:type="dxa" w:w="7488"/>
          </w:tcPr>
          <w:p>
            <w:r>
              <w:rPr>
                <w:sz w:val="17"/>
              </w:rPr>
              <w:t>Corporate Strategy and Marketing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Executive sponsor</w:t>
            </w:r>
          </w:p>
        </w:tc>
        <w:tc>
          <w:tcPr>
            <w:tcW w:type="dxa" w:w="7488"/>
          </w:tcPr>
          <w:p>
            <w:r>
              <w:rPr>
                <w:sz w:val="17"/>
              </w:rPr>
              <w:t>Chief Executive Officer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Business challenge</w:t>
            </w:r>
          </w:p>
        </w:tc>
        <w:tc>
          <w:tcPr>
            <w:tcW w:type="dxa" w:w="7488"/>
          </w:tcPr>
          <w:p>
            <w:r>
              <w:rPr>
                <w:sz w:val="17"/>
              </w:rPr>
              <w:t>Secure Executive Committee approval for the FY2027 growth plan and first-quarter investment priorities.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Planning horizon</w:t>
            </w:r>
          </w:p>
        </w:tc>
        <w:tc>
          <w:tcPr>
            <w:tcW w:type="dxa" w:w="7488"/>
          </w:tcPr>
          <w:p>
            <w:r>
              <w:rPr>
                <w:sz w:val="17"/>
              </w:rPr>
              <w:t>FY2027 with Q1 execution milestones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7488"/>
          </w:tcPr>
          <w:p>
            <w:r>
              <w:rPr>
                <w:sz w:val="17"/>
              </w:rPr>
              <w:t>Draft for classroom management review</w:t>
            </w:r>
          </w:p>
        </w:tc>
      </w:tr>
    </w:tbl>
    <w:p>
      <w:pPr>
        <w:pStyle w:val="Heading1"/>
      </w:pPr>
      <w:r>
        <w:t>2. Evidence available</w:t>
      </w:r>
    </w:p>
    <w:p>
      <w:pPr>
        <w:pStyle w:val="ListBullet"/>
      </w:pPr>
      <w:r>
        <w:t>Reviewed marketing plan</w:t>
      </w:r>
    </w:p>
    <w:p>
      <w:pPr>
        <w:pStyle w:val="ListBullet"/>
      </w:pPr>
      <w:r>
        <w:t>Reviewed strategic plan</w:t>
      </w:r>
    </w:p>
    <w:p>
      <w:pPr>
        <w:pStyle w:val="ListBullet"/>
      </w:pPr>
      <w:r>
        <w:t>Verified financial dashboard</w:t>
      </w:r>
    </w:p>
    <w:p>
      <w:pPr>
        <w:pStyle w:val="ListBullet"/>
      </w:pPr>
      <w:r>
        <w:t>Sustainability and people commitments</w:t>
      </w:r>
    </w:p>
    <w:p>
      <w:pPr>
        <w:pStyle w:val="Heading1"/>
      </w:pPr>
      <w:r>
        <w:t>3. Required management outputs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168"/>
            <w:shd w:fill="1F6FEB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4752"/>
            <w:shd w:fill="1F6FEB"/>
          </w:tcPr>
          <w:p>
            <w:r>
              <w:rPr>
                <w:b/>
                <w:color w:val="FFFFFF"/>
                <w:sz w:val="18"/>
              </w:rPr>
              <w:t>Acceptance evidence</w:t>
            </w:r>
          </w:p>
        </w:tc>
        <w:tc>
          <w:tcPr>
            <w:tcW w:type="dxa" w:w="1872"/>
            <w:shd w:fill="1F6FEB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Executive deck</w:t>
            </w:r>
          </w:p>
        </w:tc>
        <w:tc>
          <w:tcPr>
            <w:tcW w:type="dxa" w:w="4752"/>
          </w:tcPr>
          <w:p>
            <w:r>
              <w:rPr>
                <w:sz w:val="17"/>
              </w:rPr>
              <w:t>Source-linked, template-compliant and reviewed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Chief Executive Officer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Native charts</w:t>
            </w:r>
          </w:p>
        </w:tc>
        <w:tc>
          <w:tcPr>
            <w:tcW w:type="dxa" w:w="4752"/>
          </w:tcPr>
          <w:p>
            <w:r>
              <w:rPr>
                <w:sz w:val="17"/>
              </w:rPr>
              <w:t>Source-linked, template-compliant and reviewed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Chief Executive Officer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Decision page</w:t>
            </w:r>
          </w:p>
        </w:tc>
        <w:tc>
          <w:tcPr>
            <w:tcW w:type="dxa" w:w="4752"/>
          </w:tcPr>
          <w:p>
            <w:r>
              <w:rPr>
                <w:sz w:val="17"/>
              </w:rPr>
              <w:t>Source-linked, template-compliant and reviewed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Chief Executive Officer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Speaker notes and source register</w:t>
            </w:r>
          </w:p>
        </w:tc>
        <w:tc>
          <w:tcPr>
            <w:tcW w:type="dxa" w:w="4752"/>
          </w:tcPr>
          <w:p>
            <w:r>
              <w:rPr>
                <w:sz w:val="17"/>
              </w:rPr>
              <w:t>Source-linked, template-compliant and reviewed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Chief Executive Officer</w:t>
            </w:r>
          </w:p>
        </w:tc>
      </w:tr>
    </w:tbl>
    <w:p>
      <w:pPr>
        <w:pStyle w:val="Heading1"/>
      </w:pPr>
      <w:r>
        <w:t>4.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304"/>
            <w:shd w:fill="1F6FEB"/>
          </w:tcPr>
          <w:p>
            <w:r>
              <w:rPr>
                <w:b/>
                <w:color w:val="FFFFFF"/>
                <w:sz w:val="18"/>
              </w:rPr>
              <w:t>Measure</w:t>
            </w:r>
          </w:p>
        </w:tc>
        <w:tc>
          <w:tcPr>
            <w:tcW w:type="dxa" w:w="3888"/>
            <w:shd w:fill="1F6FEB"/>
          </w:tcPr>
          <w:p>
            <w:r>
              <w:rPr>
                <w:b/>
                <w:color w:val="FFFFFF"/>
                <w:sz w:val="18"/>
              </w:rPr>
              <w:t>Definition</w:t>
            </w:r>
          </w:p>
        </w:tc>
        <w:tc>
          <w:tcPr>
            <w:tcW w:type="dxa" w:w="2160"/>
            <w:shd w:fill="1F6FEB"/>
          </w:tcPr>
          <w:p>
            <w:r>
              <w:rPr>
                <w:b/>
                <w:color w:val="FFFFFF"/>
                <w:sz w:val="18"/>
              </w:rPr>
              <w:t>Source owner</w:t>
            </w:r>
          </w:p>
        </w:tc>
        <w:tc>
          <w:tcPr>
            <w:tcW w:type="dxa" w:w="1440"/>
            <w:shd w:fill="1F6FEB"/>
          </w:tcPr>
          <w:p>
            <w:r>
              <w:rPr>
                <w:b/>
                <w:color w:val="FFFFFF"/>
                <w:sz w:val="18"/>
              </w:rPr>
              <w:t>Review frequency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Revenue growth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Company definition for revenue growth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Corporate Strategy and Marketing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Monthly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Gross margin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Company definition for gross margin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Corporate Strategy and Marketing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Monthly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Operating contribution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Company definition for operating contribution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Corporate Strategy and Marketing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Monthly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Campaign ROI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Company definition for campaign roi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Corporate Strategy and Marketing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Monthly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Digital share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Company definition for digital share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Corporate Strategy and Marketing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Monthly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Q1 milestones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Company definition for q1 milestones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Corporate Strategy and Marketing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Monthly</w:t>
            </w:r>
          </w:p>
        </w:tc>
      </w:tr>
    </w:tbl>
    <w:p>
      <w:pPr>
        <w:pStyle w:val="Heading1"/>
      </w:pPr>
      <w:r>
        <w:t>5. Controls and approval</w:t>
      </w:r>
    </w:p>
    <w:p>
      <w:pPr>
        <w:pStyle w:val="ListBullet"/>
      </w:pPr>
      <w:r>
        <w:t>Company slide master</w:t>
      </w:r>
    </w:p>
    <w:p>
      <w:pPr>
        <w:pStyle w:val="ListBullet"/>
      </w:pPr>
      <w:r>
        <w:t>One message per slide</w:t>
      </w:r>
    </w:p>
    <w:p>
      <w:pPr>
        <w:pStyle w:val="ListBullet"/>
      </w:pPr>
      <w:r>
        <w:t>Native editable visuals</w:t>
      </w:r>
    </w:p>
    <w:p>
      <w:pPr>
        <w:pStyle w:val="ListBullet"/>
      </w:pPr>
      <w:r>
        <w:t>Figure reconciliation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F"/>
            <w:vAlign w:val="center"/>
          </w:tcPr>
          <w:p>
            <w:r>
              <w:rPr>
                <w:b/>
                <w:color w:val="1F6FEB"/>
              </w:rPr>
              <w:t xml:space="preserve">Evidence rule  </w:t>
            </w:r>
            <w:r>
              <w:t>Facts cite their source; calculations cite workbook cells; assumptions name an owner and review date; final release requires the named sponsor.</w:t>
            </w:r>
          </w:p>
        </w:tc>
      </w:tr>
    </w:tbl>
    <w:p>
      <w:pPr>
        <w:pStyle w:val="Heading1"/>
      </w:pPr>
      <w:r>
        <w:t>6. Management questions</w:t>
      </w:r>
    </w:p>
    <w:p>
      <w:pPr>
        <w:pStyle w:val="ListNumber"/>
      </w:pPr>
      <w:r>
        <w:t>What decision must be made, and by whom?</w:t>
      </w:r>
    </w:p>
    <w:p>
      <w:pPr>
        <w:pStyle w:val="ListNumber"/>
      </w:pPr>
      <w:r>
        <w:t>Which evidence is authoritative?</w:t>
      </w:r>
    </w:p>
    <w:p>
      <w:pPr>
        <w:pStyle w:val="ListNumber"/>
      </w:pPr>
      <w:r>
        <w:t>Which assumption could change the recommendation?</w:t>
      </w:r>
    </w:p>
    <w:p>
      <w:pPr>
        <w:pStyle w:val="ListNumber"/>
      </w:pPr>
      <w:r>
        <w:t>What action, owner and date follow from approval?</w:t>
      </w:r>
    </w:p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72B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2B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0B98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2B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