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Coordinate the Planning Pack with Claude Cowork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Can the planning pack proceed to Executive Committee review without unresolved evidence or version conflicts?</w:t>
            </w:r>
          </w:p>
        </w:tc>
      </w:tr>
    </w:tbl>
    <w:p>
      <w:pPr>
        <w:pStyle w:val="Heading1"/>
      </w:pPr>
      <w:r>
        <w:t>Cowork hand-off</w:t>
      </w:r>
    </w:p>
    <w:p>
      <w:r>
        <w:t>The scoped project reconciles source files before generating a two-page management brief.</w:t>
      </w:r>
    </w:p>
    <w:p>
      <w:pPr>
        <w:pStyle w:val="Heading1"/>
      </w:pPr>
      <w:r>
        <w:t>Discrepancy control</w:t>
      </w:r>
    </w:p>
    <w:p>
      <w:r>
        <w:t>Figures, owners, dates, versions and approvals are resolved in the authoritative source.</w:t>
      </w:r>
    </w:p>
    <w:p>
      <w:pPr>
        <w:pStyle w:val="Heading1"/>
      </w:pPr>
      <w:r>
        <w:t>Native review</w:t>
      </w:r>
    </w:p>
    <w:p>
      <w:r>
        <w:t>Generated files return to Word, Excel and PowerPoint for tracked human review.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