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166"/>
      </w:tblGrid>
      <w:tr>
        <w:tc>
          <w:tcPr>
            <w:tcW w:type="dxa" w:w="10166"/>
            <w:shd w:fill="172B4D"/>
          </w:tcPr>
          <w:p>
            <w:r>
              <w:rPr>
                <w:b/>
                <w:color w:val="FFFFFF"/>
                <w:sz w:val="32"/>
              </w:rPr>
              <w:t>LUMINA LIVING PTE LTD</w:t>
            </w:r>
          </w:p>
        </w:tc>
      </w:tr>
    </w:tbl>
    <w:p>
      <w:r>
        <w:rPr>
          <w:color w:val="5B6372"/>
          <w:sz w:val="16"/>
        </w:rPr>
        <w:t>18 Kallang Avenue, #06-12, Singapore 339410   ·   people@luminaliving.example   ·   Co. Reg. 2019xxxxxK</w:t>
      </w:r>
    </w:p>
    <w:p>
      <w:pPr>
        <w:pStyle w:val="Title"/>
      </w:pPr>
      <w:r>
        <w:t>HR Policy Consultation Note</w:t>
      </w:r>
    </w:p>
    <w:p>
      <w:r>
        <w:rPr>
          <w:color w:val="5B6372"/>
          <w:sz w:val="18"/>
        </w:rPr>
        <w:t>Human Resources   ·   FICTIONAL COMPANY TRAINING MATERIAL   ·   for the January staff handbook update</w:t>
      </w:r>
    </w:p>
    <w:tbl>
      <w:tblPr>
        <w:tblW w:type="auto" w:w="0"/>
        <w:jc w:val="center"/>
        <w:tblLook w:firstColumn="1" w:firstRow="1" w:lastColumn="0" w:lastRow="0" w:noHBand="0" w:noVBand="1" w:val="04A0"/>
      </w:tblPr>
      <w:tblGrid>
        <w:gridCol w:w="10166"/>
      </w:tblGrid>
      <w:tr>
        <w:tc>
          <w:tcPr>
            <w:tcW w:type="dxa" w:w="10166"/>
            <w:shd w:fill="EAF8F3"/>
            <w:vAlign w:val="center"/>
          </w:tcPr>
          <w:p>
            <w:r>
              <w:rPr>
                <w:b/>
                <w:color w:val="1F6FEB"/>
              </w:rPr>
              <w:t xml:space="preserve">How to use this note  </w:t>
            </w:r>
            <w:r>
              <w:t>This is the only source for the two policies you are about to draft. Where it says a point is still open, that point must stay open in your draft.</w:t>
            </w:r>
          </w:p>
        </w:tc>
      </w:tr>
    </w:tbl>
    <w:p>
      <w:pPr>
        <w:pStyle w:val="Heading1"/>
      </w:pPr>
      <w:r>
        <w:t>1. Why we are writing these policies</w:t>
      </w:r>
    </w:p>
    <w:p>
      <w:r>
        <w:t>Exit interviews over the last 12 months named inflexible hours as a reason for leaving in 9 of 21 cases, concentrated in the online and office teams. The Head of HR asked for two policies to be drafted for the January staff handbook update: flexible working, and carry-over of unused annual leave.</w:t>
      </w:r>
    </w:p>
    <w:p>
      <w:pPr>
        <w:pStyle w:val="Heading1"/>
      </w:pPr>
      <w:r>
        <w:t>2. Flexible working — what the management team has agreed</w:t>
      </w:r>
    </w:p>
    <w:p>
      <w:r>
        <w:t>Office and online staff who have completed probation may work from home up to two days a week. Retail and warehouse roles are on site by nature and are out of scope. Days must be agreed with the line manager in advance and recorded in the team calendar. Core hours when everyone must be contactable are 10am to 4pm. Managers may require attendance on a home-working day where there is a business need, giving at least 24 hours' notice.</w:t>
      </w:r>
    </w:p>
    <w:p>
      <w:pPr>
        <w:pStyle w:val="Heading1"/>
      </w:pPr>
      <w:r>
        <w:t>3. Flexible working — what is still open</w:t>
      </w:r>
    </w:p>
    <w:p>
      <w:r>
        <w:t>Whether the two days become a contractual right or remain at the manager's discretion has not been decided. There is no agreed process for a staff member to appeal a refused request. The treatment of staff who move from an on-site role to an office role has not been discussed.</w:t>
      </w:r>
    </w:p>
    <w:p>
      <w:pPr>
        <w:pStyle w:val="Heading1"/>
      </w:pPr>
      <w:r>
        <w:t>4. Leave carry-over — what the management team has agreed</w:t>
      </w:r>
    </w:p>
    <w:p>
      <w:r>
        <w:t>Staff may carry a maximum of five unused annual leave days into the following year. Carried days must be used by 31 March or they lapse. Carry-over needs the line manager's approval, recorded on the leave system before 31 December.</w:t>
      </w:r>
    </w:p>
    <w:p>
      <w:pPr>
        <w:pStyle w:val="Heading1"/>
      </w:pPr>
      <w:r>
        <w:t>5. Leave carry-over — what is still open</w:t>
      </w:r>
    </w:p>
    <w:p>
      <w:r>
        <w:t>Whether carried days are paid out on resignation has not been decided and legal has not been consulted. Whether long-term sick leave changes the carry-over limit is unresolved. The interaction with statutory minimum entitlement has not been checked.</w:t>
      </w:r>
    </w:p>
    <w:p>
      <w:pPr>
        <w:pStyle w:val="Heading1"/>
      </w:pPr>
      <w:r>
        <w:t>6. What staff said</w:t>
      </w:r>
    </w:p>
    <w:p>
      <w:r>
        <w:t>'I would stay if I could work from home two days a week.' — online team, exit interview. 'Nobody can tell me whether my four unused days roll over.' — office team, engagement survey. 'The rule seems to change depending on who you ask.' — warehouse team, engagement survey.</w:t>
      </w:r>
    </w:p>
    <w:p>
      <w:pPr>
        <w:pStyle w:val="Heading1"/>
      </w:pPr>
      <w:r>
        <w:t>7. Controls</w:t>
      </w:r>
    </w:p>
    <w:p>
      <w:r>
        <w:t>Both policies must go to the company's legal adviser before publication. Nothing may be stated as a legal entitlement in the draft. Every open point above must be visible in the draft rather than resolved by whoever writes it. The Head of HR approves the final wording.</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72B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2B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0B98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2B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