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10B981"/>
          <w:sz w:val="17"/>
        </w:rPr>
        <w:t>C197 · LAB 4 · COMPANY SOURCE</w:t>
      </w:r>
    </w:p>
    <w:p>
      <w:pPr>
        <w:pStyle w:val="Title"/>
      </w:pPr>
      <w:r>
        <w:t>Lumina Living Pte Ltd</w:t>
      </w:r>
    </w:p>
    <w:p>
      <w:r>
        <w:rPr>
          <w:b/>
          <w:color w:val="10B981"/>
          <w:sz w:val="36"/>
        </w:rPr>
        <w:t>Write a Hiring Plan in Word</w:t>
      </w:r>
    </w:p>
    <w:p>
      <w:r>
        <w:rPr>
          <w:b/>
          <w:color w:val="5B6372"/>
        </w:rPr>
        <w:t>FICTIONAL COMPANY TRAINING MATERIAL · FY2027 PLANNING CYCLE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8F3"/>
            <w:vAlign w:val="center"/>
          </w:tcPr>
          <w:p>
            <w:r>
              <w:rPr>
                <w:b/>
                <w:color w:val="1F6FEB"/>
              </w:rPr>
              <w:t xml:space="preserve">Decision required  </w:t>
            </w:r>
            <w:r>
              <w:t>Which roles do we fill now, and which do we hold back?</w:t>
            </w:r>
          </w:p>
        </w:tc>
      </w:tr>
    </w:tbl>
    <w:p>
      <w:pPr>
        <w:pStyle w:val="Heading1"/>
      </w:pPr>
      <w:r>
        <w:t>1. Company and mandate</w:t>
      </w:r>
    </w:p>
    <w:p>
      <w:r>
        <w:t>Lumina Living is a fictional Singapore home-and-lifestyle company with retail, online and warehouse teams. Learners join its HR department to prepare the FY2027 hiring plan, staff policies and the weekly people update.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04"/>
            <w:shd w:fill="1F6FEB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488"/>
            <w:shd w:fill="1F6FEB"/>
          </w:tcPr>
          <w:p>
            <w:r>
              <w:rPr>
                <w:b/>
                <w:color w:val="FFFFFF"/>
                <w:sz w:val="18"/>
              </w:rPr>
              <w:t>Company detail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Department</w:t>
            </w:r>
          </w:p>
        </w:tc>
        <w:tc>
          <w:tcPr>
            <w:tcW w:type="dxa" w:w="7488"/>
          </w:tcPr>
          <w:p>
            <w:r>
              <w:rPr>
                <w:sz w:val="17"/>
              </w:rPr>
              <w:t>Human Resources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Executive sponsor</w:t>
            </w:r>
          </w:p>
        </w:tc>
        <w:tc>
          <w:tcPr>
            <w:tcW w:type="dxa" w:w="7488"/>
          </w:tcPr>
          <w:p>
            <w:r>
              <w:rPr>
                <w:sz w:val="17"/>
              </w:rPr>
              <w:t>Head of HR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Business challenge</w:t>
            </w:r>
          </w:p>
        </w:tc>
        <w:tc>
          <w:tcPr>
            <w:tcW w:type="dxa" w:w="7488"/>
          </w:tcPr>
          <w:p>
            <w:r>
              <w:rPr>
                <w:sz w:val="17"/>
              </w:rPr>
              <w:t>Decide which roles Lumina Living fills in FY2027 and which wait.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Planning horizon</w:t>
            </w:r>
          </w:p>
        </w:tc>
        <w:tc>
          <w:tcPr>
            <w:tcW w:type="dxa" w:w="7488"/>
          </w:tcPr>
          <w:p>
            <w:r>
              <w:rPr>
                <w:sz w:val="17"/>
              </w:rPr>
              <w:t>FY2027 with Q1 execution milestones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7488"/>
          </w:tcPr>
          <w:p>
            <w:r>
              <w:rPr>
                <w:sz w:val="17"/>
              </w:rPr>
              <w:t>Draft for classroom management review</w:t>
            </w:r>
          </w:p>
        </w:tc>
      </w:tr>
    </w:tbl>
    <w:p>
      <w:pPr>
        <w:pStyle w:val="Heading1"/>
      </w:pPr>
      <w:r>
        <w:t>2. Evidence available</w:t>
      </w:r>
    </w:p>
    <w:p>
      <w:pPr>
        <w:pStyle w:val="ListBullet"/>
      </w:pPr>
      <w:r>
        <w:t>HR brief</w:t>
      </w:r>
    </w:p>
    <w:p>
      <w:pPr>
        <w:pStyle w:val="ListBullet"/>
      </w:pPr>
      <w:r>
        <w:t>Team headcount list</w:t>
      </w:r>
    </w:p>
    <w:p>
      <w:pPr>
        <w:pStyle w:val="ListBullet"/>
      </w:pPr>
      <w:r>
        <w:t>Salary bands</w:t>
      </w:r>
    </w:p>
    <w:p>
      <w:pPr>
        <w:pStyle w:val="ListBullet"/>
      </w:pPr>
      <w:r>
        <w:t>Budget limit</w:t>
      </w:r>
    </w:p>
    <w:p>
      <w:r>
        <w:t>Roles requested by the teams for FY2027: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c>
          <w:tcPr>
            <w:tcW w:type="dxa" w:w="1152"/>
            <w:shd w:fill="1F6FEB"/>
          </w:tcPr>
          <w:p>
            <w:r>
              <w:rPr>
                <w:b/>
                <w:color w:val="FFFFFF"/>
                <w:sz w:val="18"/>
              </w:rPr>
              <w:t>Team</w:t>
            </w:r>
          </w:p>
        </w:tc>
        <w:tc>
          <w:tcPr>
            <w:tcW w:type="dxa" w:w="1872"/>
            <w:shd w:fill="1F6FEB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864"/>
            <w:shd w:fill="1F6FEB"/>
          </w:tcPr>
          <w:p>
            <w:r>
              <w:rPr>
                <w:b/>
                <w:color w:val="FFFFFF"/>
                <w:sz w:val="18"/>
              </w:rPr>
              <w:t>How many</w:t>
            </w:r>
          </w:p>
        </w:tc>
        <w:tc>
          <w:tcPr>
            <w:tcW w:type="dxa" w:w="1584"/>
            <w:shd w:fill="1F6FEB"/>
          </w:tcPr>
          <w:p>
            <w:r>
              <w:rPr>
                <w:b/>
                <w:color w:val="FFFFFF"/>
                <w:sz w:val="18"/>
              </w:rPr>
              <w:t>Salary band</w:t>
            </w:r>
          </w:p>
        </w:tc>
        <w:tc>
          <w:tcPr>
            <w:tcW w:type="dxa" w:w="1152"/>
            <w:shd w:fill="1F6FEB"/>
          </w:tcPr>
          <w:p>
            <w:r>
              <w:rPr>
                <w:b/>
                <w:color w:val="FFFFFF"/>
                <w:sz w:val="18"/>
              </w:rPr>
              <w:t>Wanted by</w:t>
            </w:r>
          </w:p>
        </w:tc>
        <w:tc>
          <w:tcPr>
            <w:tcW w:type="dxa" w:w="1584"/>
            <w:shd w:fill="1F6FEB"/>
          </w:tcPr>
          <w:p>
            <w:r>
              <w:rPr>
                <w:b/>
                <w:color w:val="FFFFFF"/>
                <w:sz w:val="18"/>
              </w:rPr>
              <w:t>Hiring manager</w:t>
            </w:r>
          </w:p>
        </w:tc>
        <w:tc>
          <w:tcPr>
            <w:tcW w:type="dxa" w:w="2592"/>
            <w:shd w:fill="1F6FEB"/>
          </w:tcPr>
          <w:p>
            <w:r>
              <w:rPr>
                <w:b/>
                <w:color w:val="FFFFFF"/>
                <w:sz w:val="18"/>
              </w:rPr>
              <w:t>Why it is needed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Warehouse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Picker Packer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2,300 - 2,600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Jan 2027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Ops Manager</w:t>
            </w:r>
          </w:p>
        </w:tc>
        <w:tc>
          <w:tcPr>
            <w:tcW w:type="dxa" w:w="2592"/>
          </w:tcPr>
          <w:p>
            <w:r>
              <w:rPr>
                <w:sz w:val="17"/>
              </w:rPr>
              <w:t>Peak season backlog; 6 leavers in the last year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Warehouse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Shift Supervisor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3,700 - 4,200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Feb 2027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Ops Manager</w:t>
            </w:r>
          </w:p>
        </w:tc>
        <w:tc>
          <w:tcPr>
            <w:tcW w:type="dxa" w:w="2592"/>
          </w:tcPr>
          <w:p>
            <w:r>
              <w:rPr>
                <w:sz w:val="17"/>
              </w:rPr>
              <w:t>One shift currently runs without a supervisor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Online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Customer Service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2,800 - 3,100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Jan 2027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Online Lead</w:t>
            </w:r>
          </w:p>
        </w:tc>
        <w:tc>
          <w:tcPr>
            <w:tcW w:type="dxa" w:w="2592"/>
          </w:tcPr>
          <w:p>
            <w:r>
              <w:rPr>
                <w:sz w:val="17"/>
              </w:rPr>
              <w:t>Reply times doubled after the last two resignations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Retail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Store Assistant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2,400 - 2,700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Mar 2027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Retail Manager</w:t>
            </w:r>
          </w:p>
        </w:tc>
        <w:tc>
          <w:tcPr>
            <w:tcW w:type="dxa" w:w="2592"/>
          </w:tcPr>
          <w:p>
            <w:r>
              <w:rPr>
                <w:sz w:val="17"/>
              </w:rPr>
              <w:t>Two new store openings confirmed for Q1</w:t>
            </w:r>
          </w:p>
        </w:tc>
      </w:tr>
      <w:tr>
        <w:tc>
          <w:tcPr>
            <w:tcW w:type="dxa" w:w="1152"/>
          </w:tcPr>
          <w:p>
            <w:r>
              <w:rPr>
                <w:sz w:val="17"/>
              </w:rPr>
              <w:t>Office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Data Analyst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4,600 - 5,200</w:t>
            </w:r>
          </w:p>
        </w:tc>
        <w:tc>
          <w:tcPr>
            <w:tcW w:type="dxa" w:w="1152"/>
          </w:tcPr>
          <w:p>
            <w:r>
              <w:rPr>
                <w:sz w:val="17"/>
              </w:rPr>
              <w:t>Apr 2027</w:t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Head of HR</w:t>
            </w:r>
          </w:p>
        </w:tc>
        <w:tc>
          <w:tcPr>
            <w:tcW w:type="dxa" w:w="2592"/>
          </w:tcPr>
          <w:p>
            <w:r>
              <w:rPr>
                <w:sz w:val="17"/>
              </w:rPr>
              <w:t>Requested to build people reporting; no current gap in service</w:t>
            </w:r>
          </w:p>
        </w:tc>
      </w:tr>
    </w:tbl>
    <w:p>
      <w:r>
        <w:rPr>
          <w:b/>
        </w:rPr>
        <w:t>FY2027 hiring budget: $38,000 additional monthly salary cost. Headcount cap: 10 new roles.</w:t>
      </w:r>
    </w:p>
    <w:p>
      <w:pPr>
        <w:pStyle w:val="Heading1"/>
      </w:pPr>
      <w:r>
        <w:t>3. Required management outputs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168"/>
            <w:shd w:fill="1F6FEB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  <w:tc>
          <w:tcPr>
            <w:tcW w:type="dxa" w:w="4752"/>
            <w:shd w:fill="1F6FEB"/>
          </w:tcPr>
          <w:p>
            <w:r>
              <w:rPr>
                <w:b/>
                <w:color w:val="FFFFFF"/>
                <w:sz w:val="18"/>
              </w:rPr>
              <w:t>Acceptance evidence</w:t>
            </w:r>
          </w:p>
        </w:tc>
        <w:tc>
          <w:tcPr>
            <w:tcW w:type="dxa" w:w="1872"/>
            <w:shd w:fill="1F6FEB"/>
          </w:tcPr>
          <w:p>
            <w:r>
              <w:rPr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  <w:t>FY2027 hiring plan</w:t>
            </w:r>
          </w:p>
        </w:tc>
        <w:tc>
          <w:tcPr>
            <w:tcW w:type="dxa" w:w="4752"/>
          </w:tcPr>
          <w:p>
            <w:r>
              <w:rPr>
                <w:sz w:val="17"/>
              </w:rPr>
              <w:t>Source-linked, template-compliant and reviewed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Head of HR</w:t>
            </w:r>
          </w:p>
        </w:tc>
      </w:tr>
    </w:tbl>
    <w:p>
      <w:pPr>
        <w:pStyle w:val="Heading1"/>
      </w:pPr>
      <w:r>
        <w:t>4.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304"/>
            <w:shd w:fill="1F6FEB"/>
          </w:tcPr>
          <w:p>
            <w:r>
              <w:rPr>
                <w:b/>
                <w:color w:val="FFFFFF"/>
                <w:sz w:val="18"/>
              </w:rPr>
              <w:t>Measure</w:t>
            </w:r>
          </w:p>
        </w:tc>
        <w:tc>
          <w:tcPr>
            <w:tcW w:type="dxa" w:w="3888"/>
            <w:shd w:fill="1F6FEB"/>
          </w:tcPr>
          <w:p>
            <w:r>
              <w:rPr>
                <w:b/>
                <w:color w:val="FFFFFF"/>
                <w:sz w:val="18"/>
              </w:rPr>
              <w:t>Definition</w:t>
            </w:r>
          </w:p>
        </w:tc>
        <w:tc>
          <w:tcPr>
            <w:tcW w:type="dxa" w:w="2160"/>
            <w:shd w:fill="1F6FEB"/>
          </w:tcPr>
          <w:p>
            <w:r>
              <w:rPr>
                <w:b/>
                <w:color w:val="FFFFFF"/>
                <w:sz w:val="18"/>
              </w:rPr>
              <w:t>Source owner</w:t>
            </w:r>
          </w:p>
        </w:tc>
        <w:tc>
          <w:tcPr>
            <w:tcW w:type="dxa" w:w="1440"/>
            <w:shd w:fill="1F6FEB"/>
          </w:tcPr>
          <w:p>
            <w:r>
              <w:rPr>
                <w:b/>
                <w:color w:val="FFFFFF"/>
                <w:sz w:val="18"/>
              </w:rPr>
              <w:t>Review frequency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Roles to fill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Company definition for roles to fill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Human Resources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Monthly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Roles held back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Company definition for roles held back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Human Resources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Monthly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Cost against budget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Company definition for cost against budget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Human Resources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Monthly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Start dates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Company definition for start dates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Human Resources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Monthly</w:t>
            </w:r>
          </w:p>
        </w:tc>
      </w:tr>
    </w:tbl>
    <w:p>
      <w:pPr>
        <w:pStyle w:val="Heading1"/>
      </w:pPr>
      <w:r>
        <w:t>5. Controls and approval</w:t>
      </w:r>
    </w:p>
    <w:p>
      <w:pPr>
        <w:pStyle w:val="ListBullet"/>
      </w:pPr>
      <w:r>
        <w:t>No invented salary figures</w:t>
      </w:r>
    </w:p>
    <w:p>
      <w:pPr>
        <w:pStyle w:val="ListBullet"/>
      </w:pPr>
      <w:r>
        <w:t>Cost stays within budget</w:t>
      </w:r>
    </w:p>
    <w:p>
      <w:pPr>
        <w:pStyle w:val="ListBullet"/>
      </w:pPr>
      <w:r>
        <w:t>Head of HR approves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F"/>
            <w:vAlign w:val="center"/>
          </w:tcPr>
          <w:p>
            <w:r>
              <w:rPr>
                <w:b/>
                <w:color w:val="1F6FEB"/>
              </w:rPr>
              <w:t xml:space="preserve">Evidence rule  </w:t>
            </w:r>
            <w:r>
              <w:t>Facts cite their source; calculations cite workbook cells; assumptions name an owner and review date; final release requires the named sponsor.</w:t>
            </w:r>
          </w:p>
        </w:tc>
      </w:tr>
    </w:tbl>
    <w:p>
      <w:pPr>
        <w:pStyle w:val="Heading1"/>
      </w:pPr>
      <w:r>
        <w:t>6. Management questions</w:t>
      </w:r>
    </w:p>
    <w:p>
      <w:pPr>
        <w:pStyle w:val="ListNumber"/>
      </w:pPr>
      <w:r>
        <w:t>What decision must be made, and by whom?</w:t>
      </w:r>
    </w:p>
    <w:p>
      <w:pPr>
        <w:pStyle w:val="ListNumber"/>
      </w:pPr>
      <w:r>
        <w:t>Which evidence is authoritative?</w:t>
      </w:r>
    </w:p>
    <w:p>
      <w:pPr>
        <w:pStyle w:val="ListNumber"/>
      </w:pPr>
      <w:r>
        <w:t>Which assumption could change the recommendation?</w:t>
      </w:r>
    </w:p>
    <w:p>
      <w:pPr>
        <w:pStyle w:val="ListNumber"/>
      </w:pPr>
      <w:r>
        <w:t>What action, owner and date follow from approval?</w:t>
      </w:r>
    </w:p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72B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2B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0B98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2B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