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B4D"/>
          </w:tcPr>
          <w:p>
            <w:r>
              <w:rPr>
                <w:b/>
                <w:color w:val="FFFFFF"/>
                <w:sz w:val="32"/>
              </w:rPr>
              <w:t>LUMINA LIVING PTE LTD</w:t>
            </w:r>
          </w:p>
        </w:tc>
      </w:tr>
    </w:tbl>
    <w:p>
      <w:r>
        <w:rPr>
          <w:color w:val="5B6372"/>
          <w:sz w:val="16"/>
        </w:rPr>
        <w:t>18 Kallang Avenue, #06-12, Singapore 339410   ·   people@luminaliving.example   ·   Co. Reg. 2019xxxxxK</w:t>
      </w:r>
    </w:p>
    <w:p>
      <w:pPr>
        <w:pStyle w:val="Title"/>
      </w:pPr>
      <w:r>
        <w:t>[Policy name]</w:t>
      </w:r>
    </w:p>
    <w:p>
      <w:r>
        <w:rPr>
          <w:color w:val="5B6372"/>
          <w:sz w:val="18"/>
        </w:rPr>
        <w:t>Human Resources   ·   Version [x.x]   ·   Approved by [name], Head of HR   ·   Effective [date]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Before you publish  </w:t>
            </w:r>
            <w:r>
              <w:t>Every section below must be completed. Leave 'need to check' in place wherever the source material is silent — do not delete it to make the document look finished.</w:t>
            </w:r>
          </w:p>
        </w:tc>
      </w:tr>
    </w:tbl>
    <w:p>
      <w:pPr>
        <w:pStyle w:val="Heading1"/>
      </w:pPr>
      <w:r>
        <w:t>1. What the policy says</w:t>
      </w:r>
    </w:p>
    <w:p>
      <w:r>
        <w:rPr>
          <w:i/>
          <w:color w:val="5B6372"/>
        </w:rPr>
        <w:t>[The rule itself, in one or two short sentences.]</w:t>
      </w:r>
    </w:p>
    <w:p>
      <w:pPr>
        <w:pStyle w:val="Heading1"/>
      </w:pPr>
      <w:r>
        <w:t>2. How it works day to day</w:t>
      </w:r>
    </w:p>
    <w:p>
      <w:r>
        <w:rPr>
          <w:i/>
          <w:color w:val="5B6372"/>
        </w:rPr>
        <w:t>[What a manager or staff member actually does. Cross-reference other policies by name in single quotes.]</w:t>
      </w:r>
    </w:p>
    <w:p>
      <w:pPr>
        <w:pStyle w:val="Heading1"/>
      </w:pPr>
      <w:r>
        <w:t>3. Needs legal review</w:t>
      </w:r>
    </w:p>
    <w:p>
      <w:r>
        <w:rPr>
          <w:i/>
          <w:color w:val="5B6372"/>
        </w:rPr>
        <w:t>[Anything that must be checked by a qualified adviser before this is published.]</w:t>
      </w:r>
    </w:p>
    <w:p>
      <w:pPr>
        <w:pStyle w:val="Heading1"/>
      </w:pPr>
      <w:r>
        <w:t>4. Still to confirm</w:t>
      </w:r>
    </w:p>
    <w:p>
      <w:r>
        <w:rPr>
          <w:i/>
          <w:color w:val="5B6372"/>
        </w:rPr>
        <w:t>[Every open point, listed. Nothing goes to staff while this list has entries.]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fill="1F6FEB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Drafted by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Reviewed by (HR)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Legal review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Approved by (Head of HR)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