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LAB 7 · COMPANY SOURCE</w:t>
      </w:r>
    </w:p>
    <w:p>
      <w:pPr>
        <w:pStyle w:val="Title"/>
      </w:pPr>
      <w:r>
        <w:t>Lumina Living Pte Ltd</w:t>
      </w:r>
    </w:p>
    <w:p>
      <w:r>
        <w:rPr>
          <w:b/>
          <w:color w:val="10B981"/>
          <w:sz w:val="36"/>
        </w:rPr>
        <w:t>Build a Leadership Deck Two Ways</w:t>
      </w:r>
    </w:p>
    <w:p>
      <w:r>
        <w:rPr>
          <w:b/>
          <w:color w:val="5B6372"/>
        </w:rPr>
        <w:t>FICTIONAL COMPANY TRAINING MATERIAL · FY2027 PLANNING 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3"/>
            <w:vAlign w:val="center"/>
          </w:tcPr>
          <w:p>
            <w:r>
              <w:rPr>
                <w:b/>
                <w:color w:val="1F6FEB"/>
              </w:rPr>
              <w:t xml:space="preserve">Decision required  </w:t>
            </w:r>
            <w:r>
              <w:t>What do we want leadership to decide after this update?</w:t>
            </w:r>
          </w:p>
        </w:tc>
      </w:tr>
    </w:tbl>
    <w:p>
      <w:pPr>
        <w:pStyle w:val="Heading1"/>
      </w:pPr>
      <w:r>
        <w:t>1. Company and mandate</w:t>
      </w:r>
    </w:p>
    <w:p>
      <w:r>
        <w:t>Lumina Living is a fictional Singapore home-and-lifestyle company with retail, online and warehouse teams. Learners join its HR department to prepare the FY2027 hiring plan, staff policies and the weekly people update.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fill="1F6FEB"/>
          </w:tcPr>
          <w:p>
            <w:r>
              <w:rPr>
                <w:b/>
                <w:color w:val="FFFFFF"/>
                <w:sz w:val="18"/>
              </w:rPr>
              <w:t>Company detail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Department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Human Resources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Executive sponsor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Head of HR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Business challenge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Change a leaver number in the workbook and see which of the two decks updates.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Planning horizon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FY2027 with Q1 execution milestones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Draft for classroom management review</w:t>
            </w:r>
          </w:p>
        </w:tc>
      </w:tr>
    </w:tbl>
    <w:p>
      <w:pPr>
        <w:pStyle w:val="Heading1"/>
      </w:pPr>
      <w:r>
        <w:t>2. Evidence available</w:t>
      </w:r>
    </w:p>
    <w:p>
      <w:pPr>
        <w:pStyle w:val="ListBullet"/>
      </w:pPr>
      <w:r>
        <w:t>HR brief</w:t>
      </w:r>
    </w:p>
    <w:p>
      <w:pPr>
        <w:pStyle w:val="ListBullet"/>
      </w:pPr>
      <w:r>
        <w:t>People numbers workbook</w:t>
      </w:r>
    </w:p>
    <w:p>
      <w:pPr>
        <w:pStyle w:val="ListBullet"/>
      </w:pPr>
      <w:r>
        <w:t>Company template</w:t>
      </w:r>
    </w:p>
    <w:p>
      <w:pPr>
        <w:pStyle w:val="Heading1"/>
      </w:pPr>
      <w:r>
        <w:t>3. Required management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shd w:fill="1F6FEB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4752"/>
            <w:shd w:fill="1F6FEB"/>
          </w:tcPr>
          <w:p>
            <w:r>
              <w:rPr>
                <w:b/>
                <w:color w:val="FFFFFF"/>
                <w:sz w:val="18"/>
              </w:rPr>
              <w:t>Acceptance evidence</w:t>
            </w:r>
          </w:p>
        </w:tc>
        <w:tc>
          <w:tcPr>
            <w:tcW w:type="dxa" w:w="1872"/>
            <w:shd w:fill="1F6FEB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Six-slide leadership update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Head of HR</w:t>
            </w:r>
          </w:p>
        </w:tc>
      </w:tr>
    </w:tbl>
    <w:p>
      <w:pPr>
        <w:pStyle w:val="Heading1"/>
      </w:pPr>
      <w:r>
        <w:t>4.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3888"/>
            <w:shd w:fill="1F6FEB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Source owner</w:t>
            </w:r>
          </w:p>
        </w:tc>
        <w:tc>
          <w:tcPr>
            <w:tcW w:type="dxa" w:w="1440"/>
            <w:shd w:fill="1F6FEB"/>
          </w:tcPr>
          <w:p>
            <w:r>
              <w:rPr>
                <w:b/>
                <w:color w:val="FFFFFF"/>
                <w:sz w:val="18"/>
              </w:rPr>
              <w:t>Review frequency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Slides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slides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Human Resources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Conclusions stated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conclusions stated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Human Resources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Figures with a source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figures with a source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Human Resources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</w:tbl>
    <w:p>
      <w:pPr>
        <w:pStyle w:val="Heading1"/>
      </w:pPr>
      <w:r>
        <w:t>5. Controls and approval</w:t>
      </w:r>
    </w:p>
    <w:p>
      <w:pPr>
        <w:pStyle w:val="ListBullet"/>
      </w:pPr>
      <w:r>
        <w:t>Company template unchanged</w:t>
      </w:r>
    </w:p>
    <w:p>
      <w:pPr>
        <w:pStyle w:val="ListBullet"/>
      </w:pPr>
      <w:r>
        <w:t>Every figure has a source note</w:t>
      </w:r>
    </w:p>
    <w:p>
      <w:pPr>
        <w:pStyle w:val="ListBullet"/>
      </w:pPr>
      <w:r>
        <w:t>Untraceable figures flagged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vAlign w:val="center"/>
          </w:tcPr>
          <w:p>
            <w:r>
              <w:rPr>
                <w:b/>
                <w:color w:val="1F6FEB"/>
              </w:rPr>
              <w:t xml:space="preserve">Evidence rule  </w:t>
            </w:r>
            <w:r>
              <w:t>Facts cite their source; calculations cite workbook cells; assumptions name an owner and review date; final release requires the named sponsor.</w:t>
            </w:r>
          </w:p>
        </w:tc>
      </w:tr>
    </w:tbl>
    <w:p>
      <w:pPr>
        <w:pStyle w:val="Heading1"/>
      </w:pPr>
      <w:r>
        <w:t>6. Management questions</w:t>
      </w:r>
    </w:p>
    <w:p>
      <w:pPr>
        <w:pStyle w:val="ListNumber"/>
      </w:pPr>
      <w:r>
        <w:t>What decision must be made, and by whom?</w:t>
      </w:r>
    </w:p>
    <w:p>
      <w:pPr>
        <w:pStyle w:val="ListNumber"/>
      </w:pPr>
      <w:r>
        <w:t>Which evidence is authoritative?</w:t>
      </w:r>
    </w:p>
    <w:p>
      <w:pPr>
        <w:pStyle w:val="ListNumber"/>
      </w:pPr>
      <w:r>
        <w:t>Which assumption could change the recommendation?</w:t>
      </w:r>
    </w:p>
    <w:p>
      <w:pPr>
        <w:pStyle w:val="ListNumber"/>
      </w:pPr>
      <w:r>
        <w:t>What action, owner and date follow from approval?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