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Automate Business Processes with Agentic AI Workflows</w:t>
      </w:r>
    </w:p>
    <w:p>
      <w:pPr>
        <w:spacing w:before="80" w:after="280"/>
        <w:jc w:val="center"/>
      </w:pPr>
      <w:r>
        <w:rPr>
          <w:b w:val="0"/>
          <w:color w:val="111827"/>
          <w:sz w:val="24"/>
        </w:rPr>
        <w:t>Course Code: C209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2.5</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8 August 2026</w:t>
            </w:r>
          </w:p>
        </w:tc>
        <w:tc>
          <w:tcPr>
            <w:tcW w:type="dxa" w:w="2160"/>
          </w:tcPr>
          <w:p>
            <w:r/>
            <w:r>
              <w:rPr>
                <w:sz w:val="19"/>
              </w:rPr>
              <w:t>Derived from the parent course courseware (v2.0): same topics, labs and house design.</w:t>
            </w:r>
          </w:p>
        </w:tc>
        <w:tc>
          <w:tcPr>
            <w:tcW w:type="dxa" w:w="2160"/>
          </w:tcPr>
          <w:p>
            <w:r/>
            <w:r>
              <w:rPr>
                <w:sz w:val="19"/>
              </w:rPr>
              <w:t>Dr. Alfred Ang</w:t>
            </w:r>
          </w:p>
        </w:tc>
      </w:tr>
      <w:tr>
        <w:tc>
          <w:tcPr>
            <w:tcW w:type="dxa" w:w="2160"/>
          </w:tcPr>
          <w:p>
            <w:r/>
            <w:r>
              <w:rPr>
                <w:sz w:val="19"/>
              </w:rPr>
              <w:t>2.0</w:t>
            </w:r>
          </w:p>
        </w:tc>
        <w:tc>
          <w:tcPr>
            <w:tcW w:type="dxa" w:w="2160"/>
          </w:tcPr>
          <w:p>
            <w:r/>
            <w:r>
              <w:rPr>
                <w:sz w:val="19"/>
              </w:rPr>
              <w:t>19 September 2026</w:t>
            </w:r>
          </w:p>
        </w:tc>
        <w:tc>
          <w:tcPr>
            <w:tcW w:type="dxa" w:w="2160"/>
          </w:tcPr>
          <w:p>
            <w:r/>
            <w:r>
              <w:rPr>
                <w:sz w:val="19"/>
              </w:rPr>
              <w:t>Non-WSQ edition: assessment and funding content removed; both days retimed to 9:30am – 5:30pm (7.5 instructional hours/day, 15 hours total) with a 30-minute lunch break; slide references remapped.</w:t>
            </w:r>
          </w:p>
        </w:tc>
        <w:tc>
          <w:tcPr>
            <w:tcW w:type="dxa" w:w="2160"/>
          </w:tcPr>
          <w:p>
            <w:r/>
            <w:r>
              <w:rPr>
                <w:sz w:val="19"/>
              </w:rPr>
              <w:t>Dr. Alfred Ang</w:t>
            </w:r>
          </w:p>
        </w:tc>
      </w:tr>
      <w:tr>
        <w:tc>
          <w:tcPr>
            <w:tcW w:type="dxa" w:w="2160"/>
          </w:tcPr>
          <w:p>
            <w:r/>
            <w:r>
              <w:rPr>
                <w:sz w:val="19"/>
              </w:rPr>
              <w:t>2.5</w:t>
            </w:r>
          </w:p>
        </w:tc>
        <w:tc>
          <w:tcPr>
            <w:tcW w:type="dxa" w:w="2160"/>
          </w:tcPr>
          <w:p>
            <w:r/>
            <w:r>
              <w:rPr>
                <w:sz w:val="19"/>
              </w:rPr>
              <w:t>17 October 2026</w:t>
            </w:r>
          </w:p>
        </w:tc>
        <w:tc>
          <w:tcPr>
            <w:tcW w:type="dxa" w:w="2160"/>
          </w:tcPr>
          <w:p>
            <w:r/>
            <w:r>
              <w:rPr>
                <w:sz w:val="19"/>
              </w:rPr>
              <w:t>Updated from the parent course courseware v2.5: Topic 1 opens with the modern view of agentic automation (a brief history of AI, agentic AI vs AI agents, workflow first vs agent first, AI-assisted workflow creation with n8n Assistant, AI security); every lab now follows the concepts it needs; a Telegram HR chatbot demo before Lab 3; guardrails before Lab 4; real n8n screenshots explained for Labs 2–5. Assessment and funding content removed; both days 9:30am – 5:30pm (7.5 instructional hours/day) with a 30-minute lunch break; slide references remapped.</w:t>
            </w:r>
          </w:p>
        </w:tc>
        <w:tc>
          <w:tcPr>
            <w:tcW w:type="dxa" w:w="2160"/>
          </w:tcPr>
          <w:p>
            <w:r/>
            <w:r>
              <w:rPr>
                <w:sz w:val="19"/>
              </w:rPr>
              <w:t>Dr. Alfred Ang</w:t>
            </w:r>
          </w:p>
        </w:tc>
      </w:tr>
    </w:tbl>
    <w:p>
      <w:pPr>
        <w:pageBreakBefore/>
        <w:spacing w:after="0"/>
      </w:pP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Course Schedule</w:t>
        <w:tab/>
        <w:t>4</w:t>
      </w:r>
    </w:p>
    <w:p>
      <w:pPr>
        <w:tabs>
          <w:tab w:pos="9072" w:val="right" w:leader="dot"/>
        </w:tabs>
        <w:spacing w:after="60"/>
        <w:ind w:left="432"/>
      </w:pPr>
      <w:r>
        <w:rPr>
          <w:rFonts w:ascii="Arial" w:hAnsi="Arial"/>
          <w:b w:val="0"/>
          <w:color w:val="333333"/>
          <w:sz w:val="21"/>
        </w:rPr>
        <w:t>Day 1 · 9:30am – 5:30pm — n8n, AI Agents and Agentic Chatbots</w:t>
        <w:tab/>
        <w:t>4</w:t>
      </w:r>
    </w:p>
    <w:p>
      <w:pPr>
        <w:tabs>
          <w:tab w:pos="9072" w:val="right" w:leader="dot"/>
        </w:tabs>
        <w:spacing w:after="60"/>
        <w:ind w:left="432"/>
      </w:pPr>
      <w:r>
        <w:rPr>
          <w:rFonts w:ascii="Arial" w:hAnsi="Arial"/>
          <w:b w:val="0"/>
          <w:color w:val="333333"/>
          <w:sz w:val="21"/>
        </w:rPr>
        <w:t>Day 2 · 9:30am – 5:30pm — Human in the Loop and RAG</w:t>
        <w:tab/>
        <w:t>6</w:t>
      </w:r>
    </w:p>
    <w:p>
      <w:pPr>
        <w:tabs>
          <w:tab w:pos="9072" w:val="right" w:leader="dot"/>
        </w:tabs>
        <w:spacing w:after="60"/>
      </w:pPr>
      <w:r>
        <w:rPr>
          <w:rFonts w:ascii="Arial" w:hAnsi="Arial"/>
          <w:b/>
          <w:color w:val="333333"/>
          <w:sz w:val="22"/>
        </w:rPr>
        <w:t>Lab Reference (aligned to topics and learning outcomes)</w:t>
        <w:tab/>
        <w:t>7</w:t>
      </w:r>
    </w:p>
    <w:p>
      <w:pPr>
        <w:pageBreakBefore/>
        <w:spacing w:after="0"/>
      </w:pP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Automate Business Processes with Agentic AI Workflows</w:t>
            </w:r>
          </w:p>
        </w:tc>
      </w:tr>
      <w:tr>
        <w:tc>
          <w:tcPr>
            <w:tcW w:type="dxa" w:w="4320"/>
            <w:shd w:val="clear" w:color="auto" w:fill="E8F0FE"/>
          </w:tcPr>
          <w:p>
            <w:r/>
            <w:r>
              <w:rPr>
                <w:b/>
                <w:sz w:val="20"/>
              </w:rPr>
              <w:t>Course Code</w:t>
            </w:r>
          </w:p>
        </w:tc>
        <w:tc>
          <w:tcPr>
            <w:tcW w:type="dxa" w:w="4320"/>
          </w:tcPr>
          <w:p>
            <w:r/>
            <w:r>
              <w:rPr>
                <w:sz w:val="20"/>
              </w:rPr>
              <w:t>C209</w:t>
            </w:r>
          </w:p>
        </w:tc>
      </w:tr>
      <w:tr>
        <w:tc>
          <w:tcPr>
            <w:tcW w:type="dxa" w:w="4320"/>
            <w:shd w:val="clear" w:color="auto" w:fill="E8F0FE"/>
          </w:tcPr>
          <w:p>
            <w:r/>
            <w:r>
              <w:rPr>
                <w:b/>
                <w:sz w:val="20"/>
              </w:rPr>
              <w:t>Course Type</w:t>
            </w:r>
          </w:p>
        </w:tc>
        <w:tc>
          <w:tcPr>
            <w:tcW w:type="dxa" w:w="4320"/>
          </w:tcPr>
          <w:p>
            <w:r/>
            <w:r>
              <w:rPr>
                <w:sz w:val="20"/>
              </w:rPr>
              <w:t>Non-WSQ commercial short course</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2 days · 7.5 instructional hours per day (15 hours)</w:t>
            </w:r>
          </w:p>
        </w:tc>
      </w:tr>
      <w:tr>
        <w:tc>
          <w:tcPr>
            <w:tcW w:type="dxa" w:w="4320"/>
            <w:shd w:val="clear" w:color="auto" w:fill="E8F0FE"/>
          </w:tcPr>
          <w:p>
            <w:r/>
            <w:r>
              <w:rPr>
                <w:b/>
                <w:sz w:val="20"/>
              </w:rPr>
              <w:t>Daily Timing</w:t>
            </w:r>
          </w:p>
        </w:tc>
        <w:tc>
          <w:tcPr>
            <w:tcW w:type="dxa" w:w="4320"/>
          </w:tcPr>
          <w:p>
            <w:r/>
            <w:r>
              <w:rPr>
                <w:sz w:val="20"/>
              </w:rPr>
              <w:t>Day 1: 9:30 am – 5:30 pm.  Day 2: 9:30 am – 5:30 pm.  A 30-minute lunch break each day is excluded from instructional time.</w:t>
            </w:r>
          </w:p>
        </w:tc>
      </w:tr>
      <w:tr>
        <w:tc>
          <w:tcPr>
            <w:tcW w:type="dxa" w:w="4320"/>
            <w:shd w:val="clear" w:color="auto" w:fill="E8F0FE"/>
          </w:tcPr>
          <w:p>
            <w:r/>
            <w:r>
              <w:rPr>
                <w:b/>
                <w:sz w:val="20"/>
              </w:rPr>
              <w:t>Mode</w:t>
            </w:r>
          </w:p>
        </w:tc>
        <w:tc>
          <w:tcPr>
            <w:tcW w:type="dxa" w:w="4320"/>
          </w:tcPr>
          <w:p>
            <w:r/>
            <w:r>
              <w:rPr>
                <w:sz w:val="20"/>
              </w:rPr>
              <w:t>Instructor-led, hands-on workflow-automation labs built in n8n</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Explain what n8n and AI agents are, and build automated workflows using triggers and actions.</w:t>
      </w:r>
    </w:p>
    <w:p>
      <w:pPr>
        <w:pStyle w:val="ListBullet"/>
      </w:pPr>
      <w:r>
        <w:rPr>
          <w:sz w:val="21"/>
        </w:rPr>
        <w:t>LO2: Implement AI agent applications that are triggered by webhooks and integrated with business systems.</w:t>
      </w:r>
    </w:p>
    <w:p>
      <w:pPr>
        <w:pStyle w:val="ListBullet"/>
      </w:pPr>
      <w:r>
        <w:rPr>
          <w:sz w:val="21"/>
        </w:rPr>
        <w:t>LO3: Design agentic chatbot workflows that operate safely within business and regulatory constraints.</w:t>
      </w:r>
    </w:p>
    <w:p>
      <w:pPr>
        <w:pStyle w:val="ListBullet"/>
      </w:pPr>
      <w:r>
        <w:rPr>
          <w:sz w:val="21"/>
        </w:rPr>
        <w:t>LO4: Apply human-in-the-loop approval so that sensitive actions are authorised by a person.</w:t>
      </w:r>
    </w:p>
    <w:p>
      <w:pPr>
        <w:pStyle w:val="ListBullet"/>
      </w:pPr>
      <w:r>
        <w:rPr>
          <w:sz w:val="21"/>
        </w:rPr>
        <w:t>LO5: Deploy Retrieval-Augmented Generation (RAG) to ground an agent in an organisation's own documents.</w:t>
      </w:r>
    </w:p>
    <w:p>
      <w:pPr>
        <w:pStyle w:val="Heading1"/>
      </w:pPr>
      <w:r>
        <w:t>Course Schedule</w:t>
      </w:r>
    </w:p>
    <w:p>
      <w:pPr>
        <w:pStyle w:val="Heading2"/>
      </w:pPr>
      <w:r>
        <w:t>Day 1 · 9:30am – 5:30pm — n8n, AI Agents and Agentic Chatbots</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7056"/>
            <w:shd w:val="clear" w:color="auto" w:fill="1F6FEB"/>
          </w:tcPr>
          <w:p>
            <w:r/>
            <w:r>
              <w:rPr>
                <w:rFonts w:ascii="Arial" w:hAnsi="Arial"/>
                <w:b/>
                <w:color w:val="FFFFFF"/>
                <w:sz w:val="20"/>
              </w:rPr>
              <w:t>Topic / Activity (with slide references)</w:t>
            </w:r>
          </w:p>
        </w:tc>
      </w:tr>
      <w:tr>
        <w:tc>
          <w:tcPr>
            <w:tcW w:type="dxa" w:w="1440"/>
            <w:shd w:val="clear" w:color="auto" w:fill="F3F5F8"/>
          </w:tcPr>
          <w:p>
            <w:r/>
            <w:r>
              <w:rPr>
                <w:rFonts w:ascii="Arial" w:hAnsi="Arial"/>
                <w:b w:val="0"/>
                <w:sz w:val="19"/>
              </w:rPr>
              <w:t>9:30–10:00</w:t>
            </w:r>
          </w:p>
        </w:tc>
        <w:tc>
          <w:tcPr>
            <w:tcW w:type="dxa" w:w="1152"/>
            <w:shd w:val="clear" w:color="auto" w:fill="F3F5F8"/>
          </w:tcPr>
          <w:p>
            <w:r/>
            <w:r>
              <w:rPr>
                <w:rFonts w:ascii="Arial" w:hAnsi="Arial"/>
                <w:b w:val="0"/>
                <w:sz w:val="19"/>
              </w:rPr>
              <w:t>30 min</w:t>
            </w:r>
          </w:p>
        </w:tc>
        <w:tc>
          <w:tcPr>
            <w:tcW w:type="dxa" w:w="7056"/>
            <w:shd w:val="clear" w:color="auto" w:fill="F3F5F8"/>
          </w:tcPr>
          <w:p>
            <w:r/>
            <w:r>
              <w:rPr>
                <w:rFonts w:ascii="Arial" w:hAnsi="Arial"/>
                <w:b w:val="0"/>
                <w:sz w:val="19"/>
              </w:rPr>
              <w:t>Welcome, trainer and learner introductions, ground rules, course portal and workflows, course outline and learning outcomes. Slides 2–11</w:t>
            </w:r>
          </w:p>
        </w:tc>
      </w:tr>
      <w:tr>
        <w:tc>
          <w:tcPr>
            <w:tcW w:type="dxa" w:w="1440"/>
            <w:shd w:val="clear" w:color="auto" w:fill="E8F0FE"/>
          </w:tcPr>
          <w:p>
            <w:r/>
            <w:r>
              <w:rPr>
                <w:rFonts w:ascii="Arial" w:hAnsi="Arial"/>
                <w:b/>
                <w:sz w:val="19"/>
              </w:rPr>
              <w:t>10:00–11:00</w:t>
            </w:r>
          </w:p>
        </w:tc>
        <w:tc>
          <w:tcPr>
            <w:tcW w:type="dxa" w:w="1152"/>
            <w:shd w:val="clear" w:color="auto" w:fill="E8F0FE"/>
          </w:tcPr>
          <w:p>
            <w:r/>
            <w:r>
              <w:rPr>
                <w:rFonts w:ascii="Arial" w:hAnsi="Arial"/>
                <w:b w:val="0"/>
                <w:sz w:val="19"/>
              </w:rPr>
              <w:t>60 min</w:t>
            </w:r>
          </w:p>
        </w:tc>
        <w:tc>
          <w:tcPr>
            <w:tcW w:type="dxa" w:w="7056"/>
            <w:shd w:val="clear" w:color="auto" w:fill="E8F0FE"/>
          </w:tcPr>
          <w:p>
            <w:r/>
            <w:r>
              <w:rPr>
                <w:rFonts w:ascii="Arial" w:hAnsi="Arial"/>
                <w:b/>
                <w:sz w:val="19"/>
              </w:rPr>
              <w:t>Topic 1 — Overview of n8n and AI Agents: why agentic AI, and why workflow first — a brief history of AI 2023–2026, generative AI vs agentic AI, agentic AI vs AI agents, workflow first vs agent first, AI-assisted workflow creation, platform tiers (no-code, AI-assisted low-code, AI-generated full-code), business value, use cases, the five principles of AI security, what n8n is, signing in to n8n, and a demo that builds a social media campaign workflow with n8n Assistant. Slides 12–28</w:t>
            </w:r>
          </w:p>
        </w:tc>
      </w:tr>
      <w:tr>
        <w:tc>
          <w:tcPr>
            <w:tcW w:type="dxa" w:w="1440"/>
            <w:shd w:val="clear" w:color="auto" w:fill="E8F0FE"/>
          </w:tcPr>
          <w:p>
            <w:r/>
            <w:r>
              <w:rPr>
                <w:rFonts w:ascii="Arial" w:hAnsi="Arial"/>
                <w:b/>
                <w:sz w:val="19"/>
              </w:rPr>
              <w:t>11:00–11:30</w:t>
            </w:r>
          </w:p>
        </w:tc>
        <w:tc>
          <w:tcPr>
            <w:tcW w:type="dxa" w:w="1152"/>
            <w:shd w:val="clear" w:color="auto" w:fill="E8F0FE"/>
          </w:tcPr>
          <w:p>
            <w:r/>
            <w:r>
              <w:rPr>
                <w:rFonts w:ascii="Arial" w:hAnsi="Arial"/>
                <w:b w:val="0"/>
                <w:sz w:val="19"/>
              </w:rPr>
              <w:t>30 min</w:t>
            </w:r>
          </w:p>
        </w:tc>
        <w:tc>
          <w:tcPr>
            <w:tcW w:type="dxa" w:w="7056"/>
            <w:shd w:val="clear" w:color="auto" w:fill="E8F0FE"/>
          </w:tcPr>
          <w:p>
            <w:r/>
            <w:r>
              <w:rPr>
                <w:rFonts w:ascii="Arial" w:hAnsi="Arial"/>
                <w:b/>
                <w:sz w:val="19"/>
              </w:rPr>
              <w:t>Topic 1 (continued) — n8n fundamentals: trigger nodes, data-processing nodes, storage and app actions, JSON and expressions, test vs production executions, and credentials. Slides 29–38</w:t>
            </w:r>
          </w:p>
        </w:tc>
      </w:tr>
      <w:tr>
        <w:tc>
          <w:tcPr>
            <w:tcW w:type="dxa" w:w="1440"/>
          </w:tcPr>
          <w:p>
            <w:r/>
            <w:r>
              <w:rPr>
                <w:rFonts w:ascii="Arial" w:hAnsi="Arial"/>
                <w:b w:val="0"/>
                <w:sz w:val="19"/>
              </w:rPr>
              <w:t>11:30–12:15</w:t>
            </w:r>
          </w:p>
        </w:tc>
        <w:tc>
          <w:tcPr>
            <w:tcW w:type="dxa" w:w="1152"/>
          </w:tcPr>
          <w:p>
            <w:r/>
            <w:r>
              <w:rPr>
                <w:rFonts w:ascii="Arial" w:hAnsi="Arial"/>
                <w:b w:val="0"/>
                <w:sz w:val="19"/>
              </w:rPr>
              <w:t>45 min</w:t>
            </w:r>
          </w:p>
        </w:tc>
        <w:tc>
          <w:tcPr>
            <w:tcW w:type="dxa" w:w="7056"/>
          </w:tcPr>
          <w:p>
            <w:r/>
            <w:r>
              <w:rPr>
                <w:rFonts w:ascii="Arial" w:hAnsi="Arial"/>
                <w:b w:val="0"/>
                <w:sz w:val="19"/>
              </w:rPr>
              <w:t>Hands-on Lab 1 — n8n Trigger and Action (Event Flyer with QR Code): build the form-to-Gmail workflow, publish it, copy the form's Production URL and create a QR-code event flyer; present and scan-test the flyers. Slides 39–47</w:t>
            </w:r>
          </w:p>
        </w:tc>
      </w:tr>
      <w:tr>
        <w:tc>
          <w:tcPr>
            <w:tcW w:type="dxa" w:w="1440"/>
            <w:shd w:val="clear" w:color="auto" w:fill="FDE9D9"/>
          </w:tcPr>
          <w:p>
            <w:r/>
            <w:r>
              <w:rPr>
                <w:rFonts w:ascii="Arial" w:hAnsi="Arial"/>
                <w:b w:val="0"/>
                <w:sz w:val="19"/>
              </w:rPr>
              <w:t>12:15–12:45</w:t>
            </w:r>
          </w:p>
        </w:tc>
        <w:tc>
          <w:tcPr>
            <w:tcW w:type="dxa" w:w="1152"/>
            <w:shd w:val="clear" w:color="auto" w:fill="FDE9D9"/>
          </w:tcPr>
          <w:p>
            <w:r/>
            <w:r>
              <w:rPr>
                <w:rFonts w:ascii="Arial" w:hAnsi="Arial"/>
                <w:b w:val="0"/>
                <w:sz w:val="19"/>
              </w:rPr>
              <w:t>30 min</w:t>
            </w:r>
          </w:p>
        </w:tc>
        <w:tc>
          <w:tcPr>
            <w:tcW w:type="dxa" w:w="7056"/>
            <w:shd w:val="clear" w:color="auto" w:fill="FDE9D9"/>
          </w:tcPr>
          <w:p>
            <w:r/>
            <w:r>
              <w:rPr>
                <w:rFonts w:ascii="Arial" w:hAnsi="Arial"/>
                <w:b w:val="0"/>
                <w:sz w:val="19"/>
              </w:rPr>
              <w:t>Lunch break</w:t>
            </w:r>
          </w:p>
        </w:tc>
      </w:tr>
      <w:tr>
        <w:tc>
          <w:tcPr>
            <w:tcW w:type="dxa" w:w="1440"/>
            <w:shd w:val="clear" w:color="auto" w:fill="E8F0FE"/>
          </w:tcPr>
          <w:p>
            <w:r/>
            <w:r>
              <w:rPr>
                <w:rFonts w:ascii="Arial" w:hAnsi="Arial"/>
                <w:b/>
                <w:sz w:val="19"/>
              </w:rPr>
              <w:t>12:45–14:30</w:t>
            </w:r>
          </w:p>
        </w:tc>
        <w:tc>
          <w:tcPr>
            <w:tcW w:type="dxa" w:w="1152"/>
            <w:shd w:val="clear" w:color="auto" w:fill="E8F0FE"/>
          </w:tcPr>
          <w:p>
            <w:r/>
            <w:r>
              <w:rPr>
                <w:rFonts w:ascii="Arial" w:hAnsi="Arial"/>
                <w:b w:val="0"/>
                <w:sz w:val="19"/>
              </w:rPr>
              <w:t>105 min</w:t>
            </w:r>
          </w:p>
        </w:tc>
        <w:tc>
          <w:tcPr>
            <w:tcW w:type="dxa" w:w="7056"/>
            <w:shd w:val="clear" w:color="auto" w:fill="E8F0FE"/>
          </w:tcPr>
          <w:p>
            <w:r/>
            <w:r>
              <w:rPr>
                <w:rFonts w:ascii="Arial" w:hAnsi="Arial"/>
                <w:b/>
                <w:sz w:val="19"/>
              </w:rPr>
              <w:t>Topic 1 (continued) — The building blocks of an AI agent, before Lab 2: the AI agent and its loop, the model (popular LLM providers, model parameters and temperature, claiming the free AI credits), tools and MCP, instructions with worked examples, memory, and structured output. Slides 49–61</w:t>
            </w:r>
          </w:p>
        </w:tc>
      </w:tr>
      <w:tr>
        <w:tc>
          <w:tcPr>
            <w:tcW w:type="dxa" w:w="1440"/>
            <w:shd w:val="clear" w:color="auto" w:fill="E8F0FE"/>
          </w:tcPr>
          <w:p>
            <w:r/>
            <w:r>
              <w:rPr>
                <w:rFonts w:ascii="Arial" w:hAnsi="Arial"/>
                <w:b/>
                <w:sz w:val="19"/>
              </w:rPr>
              <w:t>14:30–15:15</w:t>
            </w:r>
          </w:p>
        </w:tc>
        <w:tc>
          <w:tcPr>
            <w:tcW w:type="dxa" w:w="1152"/>
            <w:shd w:val="clear" w:color="auto" w:fill="E8F0FE"/>
          </w:tcPr>
          <w:p>
            <w:r/>
            <w:r>
              <w:rPr>
                <w:rFonts w:ascii="Arial" w:hAnsi="Arial"/>
                <w:b w:val="0"/>
                <w:sz w:val="19"/>
              </w:rPr>
              <w:t>45 min</w:t>
            </w:r>
          </w:p>
        </w:tc>
        <w:tc>
          <w:tcPr>
            <w:tcW w:type="dxa" w:w="7056"/>
            <w:shd w:val="clear" w:color="auto" w:fill="E8F0FE"/>
          </w:tcPr>
          <w:p>
            <w:r/>
            <w:r>
              <w:rPr>
                <w:rFonts w:ascii="Arial" w:hAnsi="Arial"/>
                <w:b/>
                <w:sz w:val="19"/>
              </w:rPr>
              <w:t>Topic 1 (continued) — Webhooks: the inbound URL, webhook vs HTTP Request, GET vs POST, Test vs Production URL and webhook configuration. Slides 62–69</w:t>
            </w:r>
          </w:p>
        </w:tc>
      </w:tr>
      <w:tr>
        <w:tc>
          <w:tcPr>
            <w:tcW w:type="dxa" w:w="1440"/>
          </w:tcPr>
          <w:p>
            <w:r/>
            <w:r>
              <w:rPr>
                <w:rFonts w:ascii="Arial" w:hAnsi="Arial"/>
                <w:b w:val="0"/>
                <w:sz w:val="19"/>
              </w:rPr>
              <w:t>15:15–17:15</w:t>
            </w:r>
          </w:p>
        </w:tc>
        <w:tc>
          <w:tcPr>
            <w:tcW w:type="dxa" w:w="1152"/>
          </w:tcPr>
          <w:p>
            <w:r/>
            <w:r>
              <w:rPr>
                <w:rFonts w:ascii="Arial" w:hAnsi="Arial"/>
                <w:b w:val="0"/>
                <w:sz w:val="19"/>
              </w:rPr>
              <w:t>120 min</w:t>
            </w:r>
          </w:p>
        </w:tc>
        <w:tc>
          <w:tcPr>
            <w:tcW w:type="dxa" w:w="7056"/>
          </w:tcPr>
          <w:p>
            <w:r/>
            <w:r>
              <w:rPr>
                <w:rFonts w:ascii="Arial" w:hAnsi="Arial"/>
                <w:b w:val="0"/>
                <w:sz w:val="19"/>
              </w:rPr>
              <w:t>Hands-on Lab 2 — Webhook and AI Agent (Marina Trust Bank Onboarding): how the webhook, agent, model, tools, instructions, memory and structured output fit together, then build and test the onboarding agent. Slides 70–74</w:t>
            </w:r>
          </w:p>
        </w:tc>
      </w:tr>
      <w:tr>
        <w:tc>
          <w:tcPr>
            <w:tcW w:type="dxa" w:w="1440"/>
            <w:shd w:val="clear" w:color="auto" w:fill="F3F5F8"/>
          </w:tcPr>
          <w:p>
            <w:r/>
            <w:r>
              <w:rPr>
                <w:rFonts w:ascii="Arial" w:hAnsi="Arial"/>
                <w:b w:val="0"/>
                <w:sz w:val="19"/>
              </w:rPr>
              <w:t>17:15–17:30</w:t>
            </w:r>
          </w:p>
        </w:tc>
        <w:tc>
          <w:tcPr>
            <w:tcW w:type="dxa" w:w="1152"/>
            <w:shd w:val="clear" w:color="auto" w:fill="F3F5F8"/>
          </w:tcPr>
          <w:p>
            <w:r/>
            <w:r>
              <w:rPr>
                <w:rFonts w:ascii="Arial" w:hAnsi="Arial"/>
                <w:b w:val="0"/>
                <w:sz w:val="19"/>
              </w:rPr>
              <w:t>15 min</w:t>
            </w:r>
          </w:p>
        </w:tc>
        <w:tc>
          <w:tcPr>
            <w:tcW w:type="dxa" w:w="7056"/>
            <w:shd w:val="clear" w:color="auto" w:fill="F3F5F8"/>
          </w:tcPr>
          <w:p>
            <w:r/>
            <w:r>
              <w:rPr>
                <w:rFonts w:ascii="Arial" w:hAnsi="Arial"/>
                <w:b w:val="0"/>
                <w:sz w:val="19"/>
              </w:rPr>
              <w:t>Day 1 recap and Q&amp;A</w:t>
            </w:r>
          </w:p>
        </w:tc>
      </w:tr>
    </w:tbl>
    <w:p>
      <w:r>
        <w:rPr>
          <w:i/>
          <w:color w:val="555B66"/>
          <w:sz w:val="19"/>
        </w:rPr>
        <w:t>Instructional time: 450 minutes (7.5 hours).  The day runs 9:30 am – 5:30 pm: the 30-minute lunch break is excluded from instructional time.</w:t>
      </w:r>
    </w:p>
    <w:p>
      <w:pPr>
        <w:pStyle w:val="Heading2"/>
      </w:pPr>
      <w:r>
        <w:t>Day 2 · 9:30am – 5:30pm — Human in the Loop and RAG</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7056"/>
            <w:shd w:val="clear" w:color="auto" w:fill="1F6FEB"/>
          </w:tcPr>
          <w:p>
            <w:r/>
            <w:r>
              <w:rPr>
                <w:rFonts w:ascii="Arial" w:hAnsi="Arial"/>
                <w:b/>
                <w:color w:val="FFFFFF"/>
                <w:sz w:val="20"/>
              </w:rPr>
              <w:t>Topic / Activity (with slide references)</w:t>
            </w:r>
          </w:p>
        </w:tc>
      </w:tr>
      <w:tr>
        <w:tc>
          <w:tcPr>
            <w:tcW w:type="dxa" w:w="1440"/>
            <w:shd w:val="clear" w:color="auto" w:fill="F3F5F8"/>
          </w:tcPr>
          <w:p>
            <w:r/>
            <w:r>
              <w:rPr>
                <w:rFonts w:ascii="Arial" w:hAnsi="Arial"/>
                <w:b w:val="0"/>
                <w:sz w:val="19"/>
              </w:rPr>
              <w:t>9:30–9:45</w:t>
            </w:r>
          </w:p>
        </w:tc>
        <w:tc>
          <w:tcPr>
            <w:tcW w:type="dxa" w:w="1152"/>
            <w:shd w:val="clear" w:color="auto" w:fill="F3F5F8"/>
          </w:tcPr>
          <w:p>
            <w:r/>
            <w:r>
              <w:rPr>
                <w:rFonts w:ascii="Arial" w:hAnsi="Arial"/>
                <w:b w:val="0"/>
                <w:sz w:val="19"/>
              </w:rPr>
              <w:t>15 min</w:t>
            </w:r>
          </w:p>
        </w:tc>
        <w:tc>
          <w:tcPr>
            <w:tcW w:type="dxa" w:w="7056"/>
            <w:shd w:val="clear" w:color="auto" w:fill="F3F5F8"/>
          </w:tcPr>
          <w:p>
            <w:r/>
            <w:r>
              <w:rPr>
                <w:rFonts w:ascii="Arial" w:hAnsi="Arial"/>
                <w:b w:val="0"/>
                <w:sz w:val="19"/>
              </w:rPr>
              <w:t>Day 1 recap</w:t>
            </w:r>
          </w:p>
        </w:tc>
      </w:tr>
      <w:tr>
        <w:tc>
          <w:tcPr>
            <w:tcW w:type="dxa" w:w="1440"/>
            <w:shd w:val="clear" w:color="auto" w:fill="E8F0FE"/>
          </w:tcPr>
          <w:p>
            <w:r/>
            <w:r>
              <w:rPr>
                <w:rFonts w:ascii="Arial" w:hAnsi="Arial"/>
                <w:b/>
                <w:sz w:val="19"/>
              </w:rPr>
              <w:t>9:45–10:30</w:t>
            </w:r>
          </w:p>
        </w:tc>
        <w:tc>
          <w:tcPr>
            <w:tcW w:type="dxa" w:w="1152"/>
            <w:shd w:val="clear" w:color="auto" w:fill="E8F0FE"/>
          </w:tcPr>
          <w:p>
            <w:r/>
            <w:r>
              <w:rPr>
                <w:rFonts w:ascii="Arial" w:hAnsi="Arial"/>
                <w:b w:val="0"/>
                <w:sz w:val="19"/>
              </w:rPr>
              <w:t>45 min</w:t>
            </w:r>
          </w:p>
        </w:tc>
        <w:tc>
          <w:tcPr>
            <w:tcW w:type="dxa" w:w="7056"/>
            <w:shd w:val="clear" w:color="auto" w:fill="E8F0FE"/>
          </w:tcPr>
          <w:p>
            <w:r/>
            <w:r>
              <w:rPr>
                <w:rFonts w:ascii="Arial" w:hAnsi="Arial"/>
                <w:b/>
                <w:sz w:val="19"/>
              </w:rPr>
              <w:t>Topic 2 — Agentic Chatbot and Human in the Loop, before Lab 3: rule-based vs agentic workflows, designing a safe agentic chatbot, and a chatbot demo on Telegram — learners create a bot with BotFather /newbot, build an HR policy chatbot with n8n Assistant from one prompt, then connect, publish and chat with it. Slides 75–84</w:t>
            </w:r>
          </w:p>
        </w:tc>
      </w:tr>
      <w:tr>
        <w:tc>
          <w:tcPr>
            <w:tcW w:type="dxa" w:w="1440"/>
          </w:tcPr>
          <w:p>
            <w:r/>
            <w:r>
              <w:rPr>
                <w:rFonts w:ascii="Arial" w:hAnsi="Arial"/>
                <w:b w:val="0"/>
                <w:sz w:val="19"/>
              </w:rPr>
              <w:t>10:30–11:00</w:t>
            </w:r>
          </w:p>
        </w:tc>
        <w:tc>
          <w:tcPr>
            <w:tcW w:type="dxa" w:w="1152"/>
          </w:tcPr>
          <w:p>
            <w:r/>
            <w:r>
              <w:rPr>
                <w:rFonts w:ascii="Arial" w:hAnsi="Arial"/>
                <w:b w:val="0"/>
                <w:sz w:val="19"/>
              </w:rPr>
              <w:t>30 min</w:t>
            </w:r>
          </w:p>
        </w:tc>
        <w:tc>
          <w:tcPr>
            <w:tcW w:type="dxa" w:w="7056"/>
          </w:tcPr>
          <w:p>
            <w:r/>
            <w:r>
              <w:rPr>
                <w:rFonts w:ascii="Arial" w:hAnsi="Arial"/>
                <w:b w:val="0"/>
                <w:sz w:val="19"/>
              </w:rPr>
              <w:t>Hands-on Lab 3 — Chatbot Webhook (Investment Advisor): import the workflow, read the contact gate, the non-advisory rule and the FAQ, and deploy the chatbot behind the website. Slides 85–88</w:t>
            </w:r>
          </w:p>
        </w:tc>
      </w:tr>
      <w:tr>
        <w:tc>
          <w:tcPr>
            <w:tcW w:type="dxa" w:w="1440"/>
          </w:tcPr>
          <w:p>
            <w:r/>
            <w:r>
              <w:rPr>
                <w:rFonts w:ascii="Arial" w:hAnsi="Arial"/>
                <w:b w:val="0"/>
                <w:sz w:val="19"/>
              </w:rPr>
              <w:t>11:00–11:30</w:t>
            </w:r>
          </w:p>
        </w:tc>
        <w:tc>
          <w:tcPr>
            <w:tcW w:type="dxa" w:w="1152"/>
          </w:tcPr>
          <w:p>
            <w:r/>
            <w:r>
              <w:rPr>
                <w:rFonts w:ascii="Arial" w:hAnsi="Arial"/>
                <w:b w:val="0"/>
                <w:sz w:val="19"/>
              </w:rPr>
              <w:t>30 min</w:t>
            </w:r>
          </w:p>
        </w:tc>
        <w:tc>
          <w:tcPr>
            <w:tcW w:type="dxa" w:w="7056"/>
          </w:tcPr>
          <w:p>
            <w:r/>
            <w:r>
              <w:rPr>
                <w:rFonts w:ascii="Arial" w:hAnsi="Arial"/>
                <w:b w:val="0"/>
                <w:sz w:val="19"/>
              </w:rPr>
              <w:t>Hands-on Lab 3 — Chatbot Webhook (continued): test the contact gate and the four compliance probes, and debrief.</w:t>
            </w:r>
          </w:p>
        </w:tc>
      </w:tr>
      <w:tr>
        <w:tc>
          <w:tcPr>
            <w:tcW w:type="dxa" w:w="1440"/>
            <w:shd w:val="clear" w:color="auto" w:fill="E8F0FE"/>
          </w:tcPr>
          <w:p>
            <w:r/>
            <w:r>
              <w:rPr>
                <w:rFonts w:ascii="Arial" w:hAnsi="Arial"/>
                <w:b/>
                <w:sz w:val="19"/>
              </w:rPr>
              <w:t>11:30–12:15</w:t>
            </w:r>
          </w:p>
        </w:tc>
        <w:tc>
          <w:tcPr>
            <w:tcW w:type="dxa" w:w="1152"/>
            <w:shd w:val="clear" w:color="auto" w:fill="E8F0FE"/>
          </w:tcPr>
          <w:p>
            <w:r/>
            <w:r>
              <w:rPr>
                <w:rFonts w:ascii="Arial" w:hAnsi="Arial"/>
                <w:b w:val="0"/>
                <w:sz w:val="19"/>
              </w:rPr>
              <w:t>45 min</w:t>
            </w:r>
          </w:p>
        </w:tc>
        <w:tc>
          <w:tcPr>
            <w:tcW w:type="dxa" w:w="7056"/>
            <w:shd w:val="clear" w:color="auto" w:fill="E8F0FE"/>
          </w:tcPr>
          <w:p>
            <w:r/>
            <w:r>
              <w:rPr>
                <w:rFonts w:ascii="Arial" w:hAnsi="Arial"/>
                <w:b/>
                <w:sz w:val="19"/>
              </w:rPr>
              <w:t>Topic 2 (continued) — Human in the loop and guardrails, before Lab 4: human in, on and out of the loop; how an approval suspends a running workflow; when a human belongs in the workflow; and guardrails. Slides 89–93</w:t>
            </w:r>
          </w:p>
        </w:tc>
      </w:tr>
      <w:tr>
        <w:tc>
          <w:tcPr>
            <w:tcW w:type="dxa" w:w="1440"/>
            <w:shd w:val="clear" w:color="auto" w:fill="FDE9D9"/>
          </w:tcPr>
          <w:p>
            <w:r/>
            <w:r>
              <w:rPr>
                <w:rFonts w:ascii="Arial" w:hAnsi="Arial"/>
                <w:b w:val="0"/>
                <w:sz w:val="19"/>
              </w:rPr>
              <w:t>12:15–12:45</w:t>
            </w:r>
          </w:p>
        </w:tc>
        <w:tc>
          <w:tcPr>
            <w:tcW w:type="dxa" w:w="1152"/>
            <w:shd w:val="clear" w:color="auto" w:fill="FDE9D9"/>
          </w:tcPr>
          <w:p>
            <w:r/>
            <w:r>
              <w:rPr>
                <w:rFonts w:ascii="Arial" w:hAnsi="Arial"/>
                <w:b w:val="0"/>
                <w:sz w:val="19"/>
              </w:rPr>
              <w:t>30 min</w:t>
            </w:r>
          </w:p>
        </w:tc>
        <w:tc>
          <w:tcPr>
            <w:tcW w:type="dxa" w:w="7056"/>
            <w:shd w:val="clear" w:color="auto" w:fill="FDE9D9"/>
          </w:tcPr>
          <w:p>
            <w:r/>
            <w:r>
              <w:rPr>
                <w:rFonts w:ascii="Arial" w:hAnsi="Arial"/>
                <w:b w:val="0"/>
                <w:sz w:val="19"/>
              </w:rPr>
              <w:t>Lunch break</w:t>
            </w:r>
          </w:p>
        </w:tc>
      </w:tr>
      <w:tr>
        <w:tc>
          <w:tcPr>
            <w:tcW w:type="dxa" w:w="1440"/>
          </w:tcPr>
          <w:p>
            <w:r/>
            <w:r>
              <w:rPr>
                <w:rFonts w:ascii="Arial" w:hAnsi="Arial"/>
                <w:b w:val="0"/>
                <w:sz w:val="19"/>
              </w:rPr>
              <w:t>12:45–14:15</w:t>
            </w:r>
          </w:p>
        </w:tc>
        <w:tc>
          <w:tcPr>
            <w:tcW w:type="dxa" w:w="1152"/>
          </w:tcPr>
          <w:p>
            <w:r/>
            <w:r>
              <w:rPr>
                <w:rFonts w:ascii="Arial" w:hAnsi="Arial"/>
                <w:b w:val="0"/>
                <w:sz w:val="19"/>
              </w:rPr>
              <w:t>90 min</w:t>
            </w:r>
          </w:p>
        </w:tc>
        <w:tc>
          <w:tcPr>
            <w:tcW w:type="dxa" w:w="7056"/>
          </w:tcPr>
          <w:p>
            <w:r/>
            <w:r>
              <w:rPr>
                <w:rFonts w:ascii="Arial" w:hAnsi="Arial"/>
                <w:b w:val="0"/>
                <w:sz w:val="19"/>
              </w:rPr>
              <w:t>Hands-on Lab 4 — Human in the Loop (Client Rapport Assistant): the approve and decline paths. Slides 94–98</w:t>
            </w:r>
          </w:p>
        </w:tc>
      </w:tr>
      <w:tr>
        <w:tc>
          <w:tcPr>
            <w:tcW w:type="dxa" w:w="1440"/>
            <w:shd w:val="clear" w:color="auto" w:fill="E8F0FE"/>
          </w:tcPr>
          <w:p>
            <w:r/>
            <w:r>
              <w:rPr>
                <w:rFonts w:ascii="Arial" w:hAnsi="Arial"/>
                <w:b/>
                <w:sz w:val="19"/>
              </w:rPr>
              <w:t>14:15–15:30</w:t>
            </w:r>
          </w:p>
        </w:tc>
        <w:tc>
          <w:tcPr>
            <w:tcW w:type="dxa" w:w="1152"/>
            <w:shd w:val="clear" w:color="auto" w:fill="E8F0FE"/>
          </w:tcPr>
          <w:p>
            <w:r/>
            <w:r>
              <w:rPr>
                <w:rFonts w:ascii="Arial" w:hAnsi="Arial"/>
                <w:b w:val="0"/>
                <w:sz w:val="19"/>
              </w:rPr>
              <w:t>75 min</w:t>
            </w:r>
          </w:p>
        </w:tc>
        <w:tc>
          <w:tcPr>
            <w:tcW w:type="dxa" w:w="7056"/>
            <w:shd w:val="clear" w:color="auto" w:fill="E8F0FE"/>
          </w:tcPr>
          <w:p>
            <w:r/>
            <w:r>
              <w:rPr>
                <w:rFonts w:ascii="Arial" w:hAnsi="Arial"/>
                <w:b/>
                <w:sz w:val="19"/>
              </w:rPr>
              <w:t>Topic 3 — Retrieval-Augmented Generation: why retrieval rather than a bigger prompt, the RAG pipeline, tokenization and embeddings, chunking, vector stores and grounding. Slides 99–107</w:t>
            </w:r>
          </w:p>
        </w:tc>
      </w:tr>
      <w:tr>
        <w:tc>
          <w:tcPr>
            <w:tcW w:type="dxa" w:w="1440"/>
          </w:tcPr>
          <w:p>
            <w:r/>
            <w:r>
              <w:rPr>
                <w:rFonts w:ascii="Arial" w:hAnsi="Arial"/>
                <w:b w:val="0"/>
                <w:sz w:val="19"/>
              </w:rPr>
              <w:t>15:30–17:00</w:t>
            </w:r>
          </w:p>
        </w:tc>
        <w:tc>
          <w:tcPr>
            <w:tcW w:type="dxa" w:w="1152"/>
          </w:tcPr>
          <w:p>
            <w:r/>
            <w:r>
              <w:rPr>
                <w:rFonts w:ascii="Arial" w:hAnsi="Arial"/>
                <w:b w:val="0"/>
                <w:sz w:val="19"/>
              </w:rPr>
              <w:t>90 min</w:t>
            </w:r>
          </w:p>
        </w:tc>
        <w:tc>
          <w:tcPr>
            <w:tcW w:type="dxa" w:w="7056"/>
          </w:tcPr>
          <w:p>
            <w:r/>
            <w:r>
              <w:rPr>
                <w:rFonts w:ascii="Arial" w:hAnsi="Arial"/>
                <w:b w:val="0"/>
                <w:sz w:val="19"/>
              </w:rPr>
              <w:t>Hands-on Lab 5 — RAG Customer Care Chatbot (Cook &amp; Bake Academy): ingestion and the grounded chatbot. Slides 108–114</w:t>
            </w:r>
          </w:p>
        </w:tc>
      </w:tr>
      <w:tr>
        <w:tc>
          <w:tcPr>
            <w:tcW w:type="dxa" w:w="1440"/>
            <w:shd w:val="clear" w:color="auto" w:fill="F3F5F8"/>
          </w:tcPr>
          <w:p>
            <w:r/>
            <w:r>
              <w:rPr>
                <w:rFonts w:ascii="Arial" w:hAnsi="Arial"/>
                <w:b w:val="0"/>
                <w:sz w:val="19"/>
              </w:rPr>
              <w:t>17:00–17:30</w:t>
            </w:r>
          </w:p>
        </w:tc>
        <w:tc>
          <w:tcPr>
            <w:tcW w:type="dxa" w:w="1152"/>
            <w:shd w:val="clear" w:color="auto" w:fill="F3F5F8"/>
          </w:tcPr>
          <w:p>
            <w:r/>
            <w:r>
              <w:rPr>
                <w:rFonts w:ascii="Arial" w:hAnsi="Arial"/>
                <w:b w:val="0"/>
                <w:sz w:val="19"/>
              </w:rPr>
              <w:t>30 min</w:t>
            </w:r>
          </w:p>
        </w:tc>
        <w:tc>
          <w:tcPr>
            <w:tcW w:type="dxa" w:w="7056"/>
            <w:shd w:val="clear" w:color="auto" w:fill="F3F5F8"/>
          </w:tcPr>
          <w:p>
            <w:r/>
            <w:r>
              <w:rPr>
                <w:rFonts w:ascii="Arial" w:hAnsi="Arial"/>
                <w:b w:val="0"/>
                <w:sz w:val="19"/>
              </w:rPr>
              <w:t>Course recap, taking it back to work, Q&amp;A. Slides 115–117</w:t>
            </w:r>
          </w:p>
        </w:tc>
      </w:tr>
    </w:tbl>
    <w:p>
      <w:r>
        <w:rPr>
          <w:i/>
          <w:color w:val="555B66"/>
          <w:sz w:val="19"/>
        </w:rPr>
        <w:t>Instructional time: 450 minutes (7.5 hours).  The day runs 9:30 am – 5:30 pm: the 30-minute lunch break is excluded from instructional time.</w:t>
      </w:r>
    </w:p>
    <w:p>
      <w:r>
        <w:rPr>
          <w:b/>
          <w:sz w:val="20"/>
        </w:rPr>
        <w:t>Total instructional time across the course: 15 hours (2 days × 7.5 hours).</w:t>
      </w:r>
    </w:p>
    <w:p>
      <w:pPr>
        <w:pStyle w:val="Heading1"/>
      </w:pPr>
      <w:r>
        <w:t>Lab Reference (aligned to topics and learning outcomes)</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1F6FEB"/>
          </w:tcPr>
          <w:p>
            <w:r/>
            <w:r>
              <w:rPr>
                <w:rFonts w:ascii="Arial" w:hAnsi="Arial"/>
                <w:b/>
                <w:color w:val="FFFFFF"/>
                <w:sz w:val="20"/>
              </w:rPr>
              <w:t>Topic</w:t>
            </w:r>
          </w:p>
        </w:tc>
        <w:tc>
          <w:tcPr>
            <w:tcW w:type="dxa" w:w="1296"/>
            <w:shd w:val="clear" w:color="auto" w:fill="1F6FEB"/>
          </w:tcPr>
          <w:p>
            <w:r/>
            <w:r>
              <w:rPr>
                <w:rFonts w:ascii="Arial" w:hAnsi="Arial"/>
                <w:b/>
                <w:color w:val="FFFFFF"/>
                <w:sz w:val="20"/>
              </w:rPr>
              <w:t>Outcomes</w:t>
            </w:r>
          </w:p>
        </w:tc>
        <w:tc>
          <w:tcPr>
            <w:tcW w:type="dxa" w:w="2304"/>
            <w:shd w:val="clear" w:color="auto" w:fill="1F6FEB"/>
          </w:tcPr>
          <w:p>
            <w:r/>
            <w:r>
              <w:rPr>
                <w:rFonts w:ascii="Arial" w:hAnsi="Arial"/>
                <w:b/>
                <w:color w:val="FFFFFF"/>
                <w:sz w:val="20"/>
              </w:rPr>
              <w:t>Labs</w:t>
            </w:r>
          </w:p>
        </w:tc>
        <w:tc>
          <w:tcPr>
            <w:tcW w:type="dxa" w:w="2016"/>
            <w:shd w:val="clear" w:color="auto" w:fill="1F6FEB"/>
          </w:tcPr>
          <w:p>
            <w:r/>
            <w:r>
              <w:rPr>
                <w:rFonts w:ascii="Arial" w:hAnsi="Arial"/>
                <w:b/>
                <w:color w:val="FFFFFF"/>
                <w:sz w:val="20"/>
              </w:rPr>
              <w:t>Deck slides</w:t>
            </w:r>
          </w:p>
        </w:tc>
      </w:tr>
      <w:tr>
        <w:tc>
          <w:tcPr>
            <w:tcW w:type="dxa" w:w="3744"/>
            <w:shd w:val="clear" w:color="auto" w:fill="E8F0FE"/>
          </w:tcPr>
          <w:p>
            <w:r/>
            <w:r>
              <w:rPr>
                <w:rFonts w:ascii="Arial" w:hAnsi="Arial"/>
                <w:b/>
                <w:sz w:val="19"/>
              </w:rPr>
              <w:t>Topic 01: Overview of n8n and AI Agents</w:t>
            </w:r>
          </w:p>
        </w:tc>
        <w:tc>
          <w:tcPr>
            <w:tcW w:type="dxa" w:w="1296"/>
            <w:shd w:val="clear" w:color="auto" w:fill="E8F0FE"/>
          </w:tcPr>
          <w:p>
            <w:r/>
            <w:r>
              <w:rPr>
                <w:rFonts w:ascii="Arial" w:hAnsi="Arial"/>
                <w:b w:val="0"/>
                <w:sz w:val="19"/>
              </w:rPr>
              <w:t>LO1 · LO2</w:t>
            </w:r>
          </w:p>
        </w:tc>
        <w:tc>
          <w:tcPr>
            <w:tcW w:type="dxa" w:w="2304"/>
          </w:tcPr>
          <w:p>
            <w:r/>
            <w:r>
              <w:rPr>
                <w:rFonts w:ascii="Arial" w:hAnsi="Arial"/>
                <w:b w:val="0"/>
                <w:sz w:val="19"/>
              </w:rPr>
              <w:t>Lab 1, Lab 2</w:t>
            </w:r>
          </w:p>
        </w:tc>
        <w:tc>
          <w:tcPr>
            <w:tcW w:type="dxa" w:w="2016"/>
          </w:tcPr>
          <w:p>
            <w:r/>
            <w:r>
              <w:rPr>
                <w:rFonts w:ascii="Arial" w:hAnsi="Arial"/>
                <w:b w:val="0"/>
                <w:sz w:val="19"/>
              </w:rPr>
              <w:t>Slides 12–74</w:t>
            </w:r>
          </w:p>
        </w:tc>
      </w:tr>
      <w:tr>
        <w:tc>
          <w:tcPr>
            <w:tcW w:type="dxa" w:w="3744"/>
            <w:shd w:val="clear" w:color="auto" w:fill="E8F0FE"/>
          </w:tcPr>
          <w:p>
            <w:r/>
            <w:r>
              <w:rPr>
                <w:rFonts w:ascii="Arial" w:hAnsi="Arial"/>
                <w:b/>
                <w:sz w:val="19"/>
              </w:rPr>
              <w:t>Topic 02: Agentic Chatbot and Human in the Loop</w:t>
            </w:r>
          </w:p>
        </w:tc>
        <w:tc>
          <w:tcPr>
            <w:tcW w:type="dxa" w:w="1296"/>
            <w:shd w:val="clear" w:color="auto" w:fill="E8F0FE"/>
          </w:tcPr>
          <w:p>
            <w:r/>
            <w:r>
              <w:rPr>
                <w:rFonts w:ascii="Arial" w:hAnsi="Arial"/>
                <w:b w:val="0"/>
                <w:sz w:val="19"/>
              </w:rPr>
              <w:t>LO3 · LO4</w:t>
            </w:r>
          </w:p>
        </w:tc>
        <w:tc>
          <w:tcPr>
            <w:tcW w:type="dxa" w:w="2304"/>
          </w:tcPr>
          <w:p>
            <w:r/>
            <w:r>
              <w:rPr>
                <w:rFonts w:ascii="Arial" w:hAnsi="Arial"/>
                <w:b w:val="0"/>
                <w:sz w:val="19"/>
              </w:rPr>
              <w:t>Lab 3, Lab 4</w:t>
            </w:r>
          </w:p>
        </w:tc>
        <w:tc>
          <w:tcPr>
            <w:tcW w:type="dxa" w:w="2016"/>
          </w:tcPr>
          <w:p>
            <w:r/>
            <w:r>
              <w:rPr>
                <w:rFonts w:ascii="Arial" w:hAnsi="Arial"/>
                <w:b w:val="0"/>
                <w:sz w:val="19"/>
              </w:rPr>
              <w:t>Slides 75–98</w:t>
            </w:r>
          </w:p>
        </w:tc>
      </w:tr>
      <w:tr>
        <w:tc>
          <w:tcPr>
            <w:tcW w:type="dxa" w:w="3744"/>
            <w:shd w:val="clear" w:color="auto" w:fill="E8F0FE"/>
          </w:tcPr>
          <w:p>
            <w:r/>
            <w:r>
              <w:rPr>
                <w:rFonts w:ascii="Arial" w:hAnsi="Arial"/>
                <w:b/>
                <w:sz w:val="19"/>
              </w:rPr>
              <w:t>Topic 03: Retrieval-Augmented Generation (RAG)</w:t>
            </w:r>
          </w:p>
        </w:tc>
        <w:tc>
          <w:tcPr>
            <w:tcW w:type="dxa" w:w="1296"/>
            <w:shd w:val="clear" w:color="auto" w:fill="E8F0FE"/>
          </w:tcPr>
          <w:p>
            <w:r/>
            <w:r>
              <w:rPr>
                <w:rFonts w:ascii="Arial" w:hAnsi="Arial"/>
                <w:b w:val="0"/>
                <w:sz w:val="19"/>
              </w:rPr>
              <w:t>LO5</w:t>
            </w:r>
          </w:p>
        </w:tc>
        <w:tc>
          <w:tcPr>
            <w:tcW w:type="dxa" w:w="2304"/>
          </w:tcPr>
          <w:p>
            <w:r/>
            <w:r>
              <w:rPr>
                <w:rFonts w:ascii="Arial" w:hAnsi="Arial"/>
                <w:b w:val="0"/>
                <w:sz w:val="19"/>
              </w:rPr>
              <w:t>Lab 5</w:t>
            </w:r>
          </w:p>
        </w:tc>
        <w:tc>
          <w:tcPr>
            <w:tcW w:type="dxa" w:w="2016"/>
          </w:tcPr>
          <w:p>
            <w:r/>
            <w:r>
              <w:rPr>
                <w:rFonts w:ascii="Arial" w:hAnsi="Arial"/>
                <w:b w:val="0"/>
                <w:sz w:val="19"/>
              </w:rPr>
              <w:t>Slides 99–114</w:t>
            </w:r>
          </w:p>
        </w:tc>
      </w:tr>
    </w:tbl>
    <w:sectPr w:rsidR="00FC693F" w:rsidRPr="0006063C" w:rsidSect="00034616">
      <w:footerReference w:type="default" r:id="rId11"/>
      <w:headerReference w:type="default" r:id="rId12"/>
      <w:headerReference w:type="first" r:id="rId13"/>
      <w:footerReference w:type="first" r:id="rId14"/>
      <w:headerReference w:type="even" r:id="rId15"/>
      <w:footerReference w:type="even"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