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Mastering Service Branding Strategies to Grow Your Business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C233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30 September 2026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Initial C233 release of the service-branding courseware, delivered as a one-day 9:30am – 5:30pm course (7.5 instructional hours).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Overview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Daily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Promise, Experience, Adoption and Impact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and Activity Breakdown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1 — Service Brand Value and Business Impact · Slides 14–41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2 — From Brand Strategy to Service Experience · Slides 42–70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3 — Champion Adoption and Deliver the Promise · Slides 71–97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4 — Evaluate and Improve Service-Brand Impact · Slides 98–133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6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one-day course develops the ability to explain service-brand value, translate strategy into experience, champion adoption and evaluate business impact. Eight real-use-case activities connect concepts to workplace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Course Code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C233</w:t>
            </w:r>
          </w:p>
        </w:tc>
      </w:tr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Duration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1 day · 7.5 hours</w:t>
            </w:r>
          </w:p>
        </w:tc>
      </w:tr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Training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7.5 instructional hours</w:t>
            </w:r>
          </w:p>
        </w:tc>
      </w:tr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Daily Time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9:30am–5:30pm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Explain how a service brand creates business impact, trust, differentiation and customer value.</w:t>
      </w:r>
    </w:p>
    <w:p>
      <w:pPr>
        <w:pStyle w:val="ListBullet"/>
      </w:pPr>
      <w:r>
        <w:t>LO2: Apply an organisation's brand strategy to service promises, touchpoints and competitive advantage.</w:t>
      </w:r>
    </w:p>
    <w:p>
      <w:pPr>
        <w:pStyle w:val="ListBullet"/>
      </w:pPr>
      <w:r>
        <w:t>LO3: Champion service-brand adoption through employees, communication, experience design and recovery.</w:t>
      </w:r>
    </w:p>
    <w:p>
      <w:pPr>
        <w:pStyle w:val="ListBullet"/>
      </w:pPr>
      <w:r>
        <w:t>LO4: Evaluate service-brand impact using customer, employee, operational and commercial evidence.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 — Promise, Experience, Adoption and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9:30am–10:05am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35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Administration, course outcomes and introductions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10:05am–11:15am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70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Topic 1 and Activities 1–2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Slides 14–41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11:15am–1:00pm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105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Topic 2 and Activities 3–4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Slides 42–70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1:00pm–1:50pm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50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Topic 2 application and debrief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Slides 42–70</w:t>
            </w:r>
          </w:p>
        </w:tc>
      </w:tr>
      <w:tr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1:50pm–2:20pm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30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Lunch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Lunch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2:20pm–4:00pm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100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Topic 3 and Activities 5–6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Slides 71–97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4:00pm–5:20pm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80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Topic 4 and Activities 7–8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Slides 98–133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5:20pm–5:30pm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Course recap, feedback and Q&amp;A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Reflection · Q&amp;A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</w:tbl>
    <w:p>
      <w:r>
        <w:rPr>
          <w:i/>
          <w:color w:val="555B66"/>
        </w:rPr>
        <w:t>Total instructional time excluding lunch: 450 minutes (7.5 hours).</w:t>
      </w:r>
    </w:p>
    <w:p>
      <w:pPr>
        <w:pStyle w:val="Heading1"/>
      </w:pPr>
      <w:r>
        <w:t>Topic and Activity Breakdown</w:t>
      </w:r>
    </w:p>
    <w:p>
      <w:pPr>
        <w:pStyle w:val="Heading2"/>
      </w:pPr>
      <w:r>
        <w:t>Topic 1 — Service Brand Value and Business Impact · Slides 14–41</w:t>
      </w:r>
    </w:p>
    <w:p>
      <w:r>
        <w:t>Focus: Intangibility · trust · risk reduction · differentiation · commercial value.</w:t>
      </w:r>
    </w:p>
    <w:p>
      <w:pPr>
        <w:pStyle w:val="Heading3"/>
      </w:pPr>
      <w:r>
        <w:t>Activity 1 — Babylist: Make an Intangible Service Easy to Trust · Slide 33</w:t>
      </w:r>
    </w:p>
    <w:p>
      <w:r>
        <w:t>Use Shopify's Babylist example to diagnose how a service brand reduces risk and creates a clear reason to choose.</w:t>
      </w:r>
    </w:p>
    <w:p>
      <w:pPr>
        <w:pStyle w:val="ListBullet"/>
      </w:pPr>
      <w:r>
        <w:t>Output: One-page service-brand value map and prioritised proof plan</w:t>
      </w:r>
    </w:p>
    <w:p>
      <w:pPr>
        <w:pStyle w:val="ListBullet"/>
      </w:pPr>
      <w:r>
        <w:t>Acceptance: The submission separates facts from assumptions, links at least three proof cues to customer risk and business benefit, and states a defensible advantage with validation evidence.</w:t>
      </w:r>
    </w:p>
    <w:p>
      <w:pPr>
        <w:pStyle w:val="Heading3"/>
      </w:pPr>
      <w:r>
        <w:t>Activity 2 — DBS: Translate 'Live more, Bank less' into Business Value · Slide 37</w:t>
      </w:r>
    </w:p>
    <w:p>
      <w:r>
        <w:t>Use DBS's public brand promise to trace how a promise can influence customer experience and business outcomes.</w:t>
      </w:r>
    </w:p>
    <w:p>
      <w:pPr>
        <w:pStyle w:val="ListBullet"/>
      </w:pPr>
      <w:r>
        <w:t>Output: Promise-to-impact logic model and 250-word management narrative</w:t>
      </w:r>
    </w:p>
    <w:p>
      <w:pPr>
        <w:pStyle w:val="ListBullet"/>
      </w:pPr>
      <w:r>
        <w:t>Acceptance: The logic model contains capability, delivery, customer and business layers; every causal claim is labelled; and the proposed promise is original, relevant and deliverable.</w:t>
      </w:r>
    </w:p>
    <w:p>
      <w:pPr>
        <w:pStyle w:val="Heading2"/>
      </w:pPr>
      <w:r>
        <w:t>Topic 2 — From Brand Strategy to Service Experience · Slides 42–70</w:t>
      </w:r>
    </w:p>
    <w:p>
      <w:r>
        <w:t>Focus: Purpose · audience · positioning · promise · touchpoints · tangible cues.</w:t>
      </w:r>
    </w:p>
    <w:p>
      <w:pPr>
        <w:pStyle w:val="Heading3"/>
      </w:pPr>
      <w:r>
        <w:t>Activity 3 — Ritz-Carlton: Promise-to-Proof Service Blueprint · Slide 61</w:t>
      </w:r>
    </w:p>
    <w:p>
      <w:r>
        <w:t>Use the Ritz-Carlton Gold Standards as a public reference for translating brand intent into observable delivery.</w:t>
      </w:r>
    </w:p>
    <w:p>
      <w:pPr>
        <w:pStyle w:val="ListBullet"/>
      </w:pPr>
      <w:r>
        <w:t>Output: Promise-to-proof architecture and service blueprint for four moments that matter</w:t>
      </w:r>
    </w:p>
    <w:p>
      <w:pPr>
        <w:pStyle w:val="ListBullet"/>
      </w:pPr>
      <w:r>
        <w:t>Acceptance: The blueprint traces one promise through principles, observable standards, backstage enablers, tangible cues and measures, with explicit privacy and safeguarding guardrails.</w:t>
      </w:r>
    </w:p>
    <w:p>
      <w:pPr>
        <w:pStyle w:val="Heading3"/>
      </w:pPr>
      <w:r>
        <w:t>Activity 4 — Starbucks: Redesign the Third-Place Journey · Slide 65</w:t>
      </w:r>
    </w:p>
    <w:p>
      <w:r>
        <w:t>Use Starbucks's public mission as a lens for aligning positioning, environment, people and process across a service journey.</w:t>
      </w:r>
    </w:p>
    <w:p>
      <w:pPr>
        <w:pStyle w:val="ListBullet"/>
      </w:pPr>
      <w:r>
        <w:t>Output: Current/future journey map and three-minute differentiated service concept pitch</w:t>
      </w:r>
    </w:p>
    <w:p>
      <w:pPr>
        <w:pStyle w:val="ListBullet"/>
      </w:pPr>
      <w:r>
        <w:t>Acceptance: The future journey targets a defined audience, aligns all 7Ps, contains three signature moments with operational enablers, and addresses accessibility and viability trade-offs.</w:t>
      </w:r>
    </w:p>
    <w:p>
      <w:pPr>
        <w:pStyle w:val="Heading2"/>
      </w:pPr>
      <w:r>
        <w:t>Topic 3 — Champion Adoption and Deliver the Promise · Slides 71–97</w:t>
      </w:r>
    </w:p>
    <w:p>
      <w:r>
        <w:t>Focus: Internal branding · leadership · employee enablement · culture · recovery.</w:t>
      </w:r>
    </w:p>
    <w:p>
      <w:pPr>
        <w:pStyle w:val="Heading3"/>
      </w:pPr>
      <w:r>
        <w:t>Activity 5 — Zappos: Build an Internal Brand Adoption System · Slide 89</w:t>
      </w:r>
    </w:p>
    <w:p>
      <w:r>
        <w:t>Use Zappos's public culture materials to design an adoption system that aligns meaning, capability and reinforcement.</w:t>
      </w:r>
    </w:p>
    <w:p>
      <w:pPr>
        <w:pStyle w:val="ListBullet"/>
      </w:pPr>
      <w:r>
        <w:t>Output: Internal-brand adoption charter and 30-day activation sprint</w:t>
      </w:r>
    </w:p>
    <w:p>
      <w:pPr>
        <w:pStyle w:val="ListBullet"/>
      </w:pPr>
      <w:r>
        <w:t>Acceptance: The plan names role-specific behaviours, tools and guardrails; assigns sponsor/champion/manager ownership; and includes leading, behavioural and outcome evidence.</w:t>
      </w:r>
    </w:p>
    <w:p>
      <w:pPr>
        <w:pStyle w:val="Heading3"/>
      </w:pPr>
      <w:r>
        <w:t>Activity 6 — Airbnb: Recover Trust Across a Service Ecosystem · Slide 93</w:t>
      </w:r>
    </w:p>
    <w:p>
      <w:r>
        <w:t>Use Airbnb's public description of its community marketplace to design brand-consistent recovery across customer, provider and platform roles.</w:t>
      </w:r>
    </w:p>
    <w:p>
      <w:pPr>
        <w:pStyle w:val="ListBullet"/>
      </w:pPr>
      <w:r>
        <w:t>Output: Service-recovery playbook with authority matrix and three customer messages</w:t>
      </w:r>
    </w:p>
    <w:p>
      <w:pPr>
        <w:pStyle w:val="ListBullet"/>
      </w:pPr>
      <w:r>
        <w:t>Acceptance: The playbook protects outcome/process/interaction fairness, assigns ecosystem ownership, respects authority limits, and closes with a verified improvement action.</w:t>
      </w:r>
    </w:p>
    <w:p>
      <w:pPr>
        <w:pStyle w:val="Heading2"/>
      </w:pPr>
      <w:r>
        <w:t>Topic 4 — Evaluate and Improve Service-Brand Impact · Slides 98–133</w:t>
      </w:r>
    </w:p>
    <w:p>
      <w:r>
        <w:t>Focus: Measurement system · KPI logic · journey evidence · diagnosis · improvement.</w:t>
      </w:r>
    </w:p>
    <w:p>
      <w:pPr>
        <w:pStyle w:val="Heading3"/>
      </w:pPr>
      <w:r>
        <w:t>Activity 7 — Singapore Airlines: Design a Balanced Brand-Impact Scorecard · Slide 115</w:t>
      </w:r>
    </w:p>
    <w:p>
      <w:r>
        <w:t>Use Singapore Airlines's public service story as the context for a scorecard that connects employee capability, delivery and customer outcomes.</w:t>
      </w:r>
    </w:p>
    <w:p>
      <w:pPr>
        <w:pStyle w:val="ListBullet"/>
      </w:pPr>
      <w:r>
        <w:t>Output: Eight-metric brand-impact scorecard, KPI dictionary and review agenda</w:t>
      </w:r>
    </w:p>
    <w:p>
      <w:pPr>
        <w:pStyle w:val="ListBullet"/>
      </w:pPr>
      <w:r>
        <w:t>Acceptance: Every KPI has a decision, definition, source, owner and threshold; the set balances four evidence lenses; and the analysis identifies a segment-level action without unsupported causal claims.</w:t>
      </w:r>
    </w:p>
    <w:p>
      <w:pPr>
        <w:pStyle w:val="Heading3"/>
      </w:pPr>
      <w:r>
        <w:t>Activity 8 — BOP Design: Evaluate a Human B2B Brand in an AI-Saturated Market · Slide 119</w:t>
      </w:r>
    </w:p>
    <w:p>
      <w:r>
        <w:t>Use BOP Design's 2026–2027 trend perspective to build an evaluation plan for a real B2B professional-service context.</w:t>
      </w:r>
    </w:p>
    <w:p>
      <w:pPr>
        <w:pStyle w:val="ListBullet"/>
      </w:pPr>
      <w:r>
        <w:t>Output: Brand evaluation report and one-page 90-day experiment brief</w:t>
      </w:r>
    </w:p>
    <w:p>
      <w:pPr>
        <w:pStyle w:val="ListBullet"/>
      </w:pPr>
      <w:r>
        <w:t>Acceptance: The evaluation triangulates at least three evidence types, states limitations and alternative explanations, and defines an ethical experiment with success, guardrail and stop/scale criteria.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Trainer slide deck and Learner Guide</w:t>
      </w:r>
    </w:p>
    <w:p>
      <w:pPr>
        <w:pStyle w:val="ListBullet"/>
      </w:pPr>
      <w:r>
        <w:t>Eight individual activity folders with scenario PDF, mock data, questionnaire and checklist</w:t>
      </w:r>
    </w:p>
    <w:p>
      <w:pPr>
        <w:pStyle w:val="ListBullet"/>
      </w:pPr>
      <w:r>
        <w:t>Spreadsheet software for mock-data analysis</w:t>
      </w:r>
    </w:p>
    <w:p>
      <w:pPr>
        <w:pStyle w:val="ListBullet"/>
      </w:pPr>
      <w:r>
        <w:t>Internet access for cited public sources</w:t>
      </w:r>
    </w:p>
    <w:p>
      <w:pPr>
        <w:pStyle w:val="ListBullet"/>
      </w:pPr>
      <w:r>
        <w:t>LMS access for courseware</w:t>
      </w:r>
    </w:p>
    <w:sectPr w:rsidR="00FC693F" w:rsidRPr="0006063C" w:rsidSect="00034616">
      <w:footerReference w:type="default" r:id="rId11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lms-tms.tertiaryinfotech.com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