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ISO 9001:2015 Quality Management System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C239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Initial Lesson Plan release: one-day ISO 9001:2015 QMS course with four topics and eight activity packs.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· 9:30am – 5:30pm — Quality foundations to continual improvement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Outputs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5184"/>
          </w:tcPr>
          <w:p>
            <w:r>
              <w:t>ISO 9001:2015 Quality Management System</w:t>
            </w:r>
          </w:p>
        </w:tc>
      </w:tr>
      <w:tr>
        <w:tc>
          <w:tcPr>
            <w:tcW w:type="dxa" w:w="5184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184"/>
          </w:tcPr>
          <w:p>
            <w:r>
              <w:t>C239</w:t>
            </w:r>
          </w:p>
        </w:tc>
      </w:tr>
      <w:tr>
        <w:tc>
          <w:tcPr>
            <w:tcW w:type="dxa" w:w="5184"/>
            <w:shd w:fill="E8F0FE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5184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5184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84"/>
          </w:tcPr>
          <w:p>
            <w:r>
              <w:t>1 day; 7.5 instructional hours (9:30am – 5:30pm)</w:t>
            </w:r>
          </w:p>
        </w:tc>
      </w:tr>
      <w:tr>
        <w:tc>
          <w:tcPr>
            <w:tcW w:type="dxa" w:w="5184"/>
            <w:shd w:fill="E8F0FE"/>
          </w:tcPr>
          <w:p>
            <w:r>
              <w:rPr>
                <w:b/>
              </w:rPr>
              <w:t>Delivery mode</w:t>
            </w:r>
          </w:p>
        </w:tc>
        <w:tc>
          <w:tcPr>
            <w:tcW w:type="dxa" w:w="5184"/>
          </w:tcPr>
          <w:p>
            <w:r>
              <w:t>Instructor-led, facilitated case work using the connected LionCity Precision Components scenario</w:t>
            </w:r>
          </w:p>
        </w:tc>
      </w:tr>
    </w:tbl>
    <w:p>
      <w:pPr>
        <w:pStyle w:val="Heading1"/>
      </w:pPr>
      <w:r>
        <w:t>Course Learning Outcomes</w:t>
      </w:r>
    </w:p>
    <w:p>
      <w:pPr>
        <w:pStyle w:val="ListBullet"/>
      </w:pPr>
      <w:r>
        <w:t>LO1: Identify areas for improvement using an ISO 9001 quality management system and perform process improvement.</w:t>
      </w:r>
    </w:p>
    <w:p>
      <w:pPr>
        <w:pStyle w:val="ListBullet"/>
      </w:pPr>
      <w:r>
        <w:t>LO2: Apply appropriate quality tools and monitor relevant quality metrics and KPIs.</w:t>
      </w:r>
    </w:p>
    <w:p>
      <w:pPr>
        <w:pStyle w:val="ListBullet"/>
      </w:pPr>
      <w:r>
        <w:t>LO3: Evaluate processes and assess compliance against quality management system requirements.</w:t>
      </w:r>
    </w:p>
    <w:p>
      <w:pPr>
        <w:pStyle w:val="ListBullet"/>
      </w:pPr>
      <w:r>
        <w:t>LO4: Follow up the QMS improvement process and document continual improvement according to organisational procedures.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Use the slides for concepts, visual models, scenarios and decision prompts; use the Learner Guide and activity packs for detailed procedures.</w:t>
      </w:r>
    </w:p>
    <w:p>
      <w:pPr>
        <w:pStyle w:val="ListBullet"/>
      </w:pPr>
      <w:r>
        <w:t>Treat clause references as navigation aids. Learners must explain process intent, evidence and business impact rather than memorise clause wording.</w:t>
      </w:r>
    </w:p>
    <w:p>
      <w:pPr>
        <w:pStyle w:val="ListBullet"/>
      </w:pPr>
      <w:r>
        <w:t>Each activity produces a practical work product. Observe reasoning, workbook quality, participation and report-back.</w:t>
      </w:r>
    </w:p>
    <w:p>
      <w:pPr>
        <w:pStyle w:val="ListBullet"/>
      </w:pPr>
      <w:r>
        <w:t>Use the organisation's licensed ISO 9001 copy for formal interpretation; this courseware paraphrases requirements.</w:t>
      </w:r>
    </w:p>
    <w:p>
      <w:r>
        <w:br w:type="page"/>
      </w:r>
    </w:p>
    <w:p>
      <w:pPr>
        <w:pStyle w:val="Heading1"/>
      </w:pPr>
      <w:r>
        <w:t>Day 1 · 9:30am – 5:30pm — Quality foundations to continual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80"/>
            <w:shd w:fill="1F6FEB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936"/>
            <w:shd w:fill="1F6FEB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384"/>
            <w:shd w:fill="1F6FEB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664"/>
            <w:shd w:fill="1F6FEB"/>
          </w:tcPr>
          <w:p>
            <w:r>
              <w:rPr>
                <w:b/>
                <w:color w:val="FFFFFF"/>
                <w:sz w:val="16"/>
              </w:rPr>
              <w:t>Facilitation method</w:t>
            </w:r>
          </w:p>
        </w:tc>
        <w:tc>
          <w:tcPr>
            <w:tcW w:type="dxa" w:w="1152"/>
            <w:shd w:fill="1F6FEB"/>
          </w:tcPr>
          <w:p>
            <w:r>
              <w:rPr>
                <w:b/>
                <w:color w:val="FFFFFF"/>
                <w:sz w:val="16"/>
              </w:rPr>
              <w:t>PPT slides</w:t>
            </w:r>
          </w:p>
        </w:tc>
        <w:tc>
          <w:tcPr>
            <w:tcW w:type="dxa" w:w="2376"/>
            <w:shd w:fill="1F6FEB"/>
          </w:tcPr>
          <w:p>
            <w:r>
              <w:rPr>
                <w:b/>
                <w:color w:val="FFFFFF"/>
                <w:sz w:val="16"/>
              </w:rPr>
              <w:t>Evidence / trainer checks</w:t>
            </w:r>
          </w:p>
        </w:tc>
      </w:tr>
      <w:tr>
        <w:tc>
          <w:tcPr>
            <w:tcW w:type="dxa" w:w="108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09:30–09:50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20 min</w:t>
            </w:r>
          </w:p>
        </w:tc>
        <w:tc>
          <w:tcPr>
            <w:tcW w:type="dxa" w:w="3384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Welcome, course overview, learning outcomes and ground rules</w:t>
            </w:r>
          </w:p>
        </w:tc>
        <w:tc>
          <w:tcPr>
            <w:tcW w:type="dxa" w:w="2664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Facilitated briefing; learner introductions</w:t>
            </w:r>
          </w:p>
        </w:tc>
        <w:tc>
          <w:tcPr>
            <w:tcW w:type="dxa" w:w="1152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1–7</w:t>
            </w:r>
          </w:p>
        </w:tc>
        <w:tc>
          <w:tcPr>
            <w:tcW w:type="dxa" w:w="237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Learner expectations captured</w:t>
            </w:r>
          </w:p>
        </w:tc>
      </w:tr>
      <w:tr>
        <w:tc>
          <w:tcPr>
            <w:tcW w:type="dxa" w:w="1080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09:50–10:25</w:t>
            </w:r>
          </w:p>
        </w:tc>
        <w:tc>
          <w:tcPr>
            <w:tcW w:type="dxa" w:w="93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Topic 1 — quality, QMS, ISO family, certification, principles and process approach</w:t>
            </w:r>
          </w:p>
        </w:tc>
        <w:tc>
          <w:tcPr>
            <w:tcW w:type="dxa" w:w="266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Concept briefing; examples; guided discussion</w:t>
            </w:r>
          </w:p>
        </w:tc>
        <w:tc>
          <w:tcPr>
            <w:tcW w:type="dxa" w:w="1152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8–44</w:t>
            </w:r>
          </w:p>
        </w:tc>
        <w:tc>
          <w:tcPr>
            <w:tcW w:type="dxa" w:w="237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Check understanding with scenarios and targeted questions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10:25–11:10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45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A1 — Diagnose Quality Gaps from Evidence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Team evidence analysis; workbook; report-back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45–47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11:10–11:45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A2 — Map and Improve the Order-to-Delivery Process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SIPOC/process mapping; PDCA challenge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48–50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11:45–12:45</w:t>
            </w:r>
          </w:p>
        </w:tc>
        <w:tc>
          <w:tcPr>
            <w:tcW w:type="dxa" w:w="93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38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Topic 2 — context, leadership, planning, objectives, support and documented information</w:t>
            </w:r>
          </w:p>
        </w:tc>
        <w:tc>
          <w:tcPr>
            <w:tcW w:type="dxa" w:w="266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Visual concept briefing; worked LPC examples</w:t>
            </w:r>
          </w:p>
        </w:tc>
        <w:tc>
          <w:tcPr>
            <w:tcW w:type="dxa" w:w="1152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51–83</w:t>
            </w:r>
          </w:p>
        </w:tc>
        <w:tc>
          <w:tcPr>
            <w:tcW w:type="dxa" w:w="237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Check understanding with scenarios and targeted questions</w:t>
            </w:r>
          </w:p>
        </w:tc>
      </w:tr>
      <w:tr>
        <w:tc>
          <w:tcPr>
            <w:tcW w:type="dxa" w:w="108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12:45–13:15</w:t>
            </w:r>
          </w:p>
        </w:tc>
        <w:tc>
          <w:tcPr>
            <w:tcW w:type="dxa" w:w="93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30 min</w:t>
            </w:r>
          </w:p>
        </w:tc>
        <w:tc>
          <w:tcPr>
            <w:tcW w:type="dxa" w:w="3384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Lunch break</w:t>
            </w:r>
          </w:p>
        </w:tc>
        <w:tc>
          <w:tcPr>
            <w:tcW w:type="dxa" w:w="2664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52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13:15–13:50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A3 — Select and Apply Quality Tools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Data analysis; tool-selection challenge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84–87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13:50–14:25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A4 — Set Quality Objectives and KPIs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KPI dictionary and dashboard design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88–90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14:25–15:00</w:t>
            </w:r>
          </w:p>
        </w:tc>
        <w:tc>
          <w:tcPr>
            <w:tcW w:type="dxa" w:w="93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Topic 3 — monitoring, measurement, analysis, evaluation and customer satisfaction</w:t>
            </w:r>
          </w:p>
        </w:tc>
        <w:tc>
          <w:tcPr>
            <w:tcW w:type="dxa" w:w="266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Concept briefing; KPI interpretation</w:t>
            </w:r>
          </w:p>
        </w:tc>
        <w:tc>
          <w:tcPr>
            <w:tcW w:type="dxa" w:w="1152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91–106, 113–114</w:t>
            </w:r>
          </w:p>
        </w:tc>
        <w:tc>
          <w:tcPr>
            <w:tcW w:type="dxa" w:w="237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Check understanding with scenarios and targeted questions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15:00–15:35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A5 — Evaluate a Process Against QMS Requirements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Evidence matrix; evaluation decision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107–109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15:35–16:10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A6 — Conduct an Internal Audit Simulation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Plan, interview, sample and report findings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110–112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16:10–16:35</w:t>
            </w:r>
          </w:p>
        </w:tc>
        <w:tc>
          <w:tcPr>
            <w:tcW w:type="dxa" w:w="93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25 min</w:t>
            </w:r>
          </w:p>
        </w:tc>
        <w:tc>
          <w:tcPr>
            <w:tcW w:type="dxa" w:w="338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Topic 4 — nonconformity, root cause, corrective action and continual improvement</w:t>
            </w:r>
          </w:p>
        </w:tc>
        <w:tc>
          <w:tcPr>
            <w:tcW w:type="dxa" w:w="2664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Concept briefing; worked CAPA example</w:t>
            </w:r>
          </w:p>
        </w:tc>
        <w:tc>
          <w:tcPr>
            <w:tcW w:type="dxa" w:w="1152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115–126</w:t>
            </w:r>
          </w:p>
        </w:tc>
        <w:tc>
          <w:tcPr>
            <w:tcW w:type="dxa" w:w="2376"/>
            <w:vAlign w:val="center"/>
            <w:shd w:fill="E8F0FE"/>
          </w:tcPr>
          <w:p>
            <w:r>
              <w:rPr>
                <w:rFonts w:ascii="Arial" w:hAnsi="Arial"/>
                <w:sz w:val="16"/>
              </w:rPr>
              <w:t>Check understanding with scenarios and targeted questions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16:35–17:00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25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A7 — Follow Up a Nonconformity and Corrective Action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NCR, containment, 5 Whys and effectiveness plan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127–129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17:00–17:20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20 min</w:t>
            </w:r>
          </w:p>
        </w:tc>
        <w:tc>
          <w:tcPr>
            <w:tcW w:type="dxa" w:w="338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Activity A8 — Document the Continual Improvement Report</w:t>
            </w:r>
          </w:p>
        </w:tc>
        <w:tc>
          <w:tcPr>
            <w:tcW w:type="dxa" w:w="2664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Improvement report and action tracker</w:t>
            </w:r>
          </w:p>
        </w:tc>
        <w:tc>
          <w:tcPr>
            <w:tcW w:type="dxa" w:w="1152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130–134</w:t>
            </w:r>
          </w:p>
        </w:tc>
        <w:tc>
          <w:tcPr>
            <w:tcW w:type="dxa" w:w="237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Completed activity workbook; peer challenge; report-back</w:t>
            </w:r>
          </w:p>
        </w:tc>
      </w:tr>
      <w:tr>
        <w:tc>
          <w:tcPr>
            <w:tcW w:type="dxa" w:w="108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17:20–17:30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10 min</w:t>
            </w:r>
          </w:p>
        </w:tc>
        <w:tc>
          <w:tcPr>
            <w:tcW w:type="dxa" w:w="3384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Course recap, questions and course feedback</w:t>
            </w:r>
          </w:p>
        </w:tc>
        <w:tc>
          <w:tcPr>
            <w:tcW w:type="dxa" w:w="2664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Retrieval practice; learning journal</w:t>
            </w:r>
          </w:p>
        </w:tc>
        <w:tc>
          <w:tcPr>
            <w:tcW w:type="dxa" w:w="1152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135–141</w:t>
            </w:r>
          </w:p>
        </w:tc>
        <w:tc>
          <w:tcPr>
            <w:tcW w:type="dxa" w:w="237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Responses reveal retention and remaining questions</w:t>
            </w:r>
          </w:p>
        </w:tc>
      </w:tr>
    </w:tbl>
    <w:p>
      <w:r>
        <w:rPr>
          <w:b/>
          <w:color w:val="1F6FEB"/>
        </w:rPr>
        <w:t>Day total: 7.5 instructional hours (9:30am – 5:30pm), plus one 30-minute lunch break.</w:t>
      </w:r>
    </w:p>
    <w:p>
      <w:r>
        <w:br w:type="page"/>
      </w:r>
    </w:p>
    <w:p>
      <w:pPr>
        <w:pStyle w:val="Heading1"/>
      </w:pPr>
      <w:r>
        <w:t>Activity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5184"/>
        <w:gridCol w:w="2592"/>
      </w:tblGrid>
      <w:tr>
        <w:tc>
          <w:tcPr>
            <w:tcW w:type="dxa" w:w="2592"/>
            <w:shd w:fill="1F6FEB"/>
          </w:tcPr>
          <w:p>
            <w:r>
              <w:t>Activity</w:t>
            </w:r>
          </w:p>
        </w:tc>
        <w:tc>
          <w:tcPr>
            <w:tcW w:type="dxa" w:w="5184"/>
            <w:shd w:fill="1F6FEB"/>
          </w:tcPr>
          <w:p>
            <w:r>
              <w:t>Observable product</w:t>
            </w:r>
          </w:p>
        </w:tc>
        <w:tc>
          <w:tcPr>
            <w:tcW w:type="dxa" w:w="2592"/>
            <w:shd w:fill="1F6FEB"/>
          </w:tcPr>
          <w:p>
            <w:r>
              <w:t>Primary debrief focus</w:t>
            </w:r>
          </w:p>
        </w:tc>
      </w:tr>
      <w:tr>
        <w:tc>
          <w:tcPr>
            <w:tcW w:type="dxa" w:w="2592"/>
          </w:tcPr>
          <w:p>
            <w:r>
              <w:t>A1 Quality-gap diagnosis</w:t>
            </w:r>
          </w:p>
        </w:tc>
        <w:tc>
          <w:tcPr>
            <w:tcW w:type="dxa" w:w="5184"/>
          </w:tcPr>
          <w:p>
            <w:r>
              <w:t>Prioritisation matrix and problem statement</w:t>
            </w:r>
          </w:p>
        </w:tc>
        <w:tc>
          <w:tcPr>
            <w:tcW w:type="dxa" w:w="2592"/>
          </w:tcPr>
          <w:p>
            <w:r>
              <w:t>Facts, symptoms and assumptions</w:t>
            </w:r>
          </w:p>
        </w:tc>
      </w:tr>
      <w:tr>
        <w:tc>
          <w:tcPr>
            <w:tcW w:type="dxa" w:w="2592"/>
          </w:tcPr>
          <w:p>
            <w:r>
              <w:t>A2 Process improvement</w:t>
            </w:r>
          </w:p>
        </w:tc>
        <w:tc>
          <w:tcPr>
            <w:tcW w:type="dxa" w:w="5184"/>
          </w:tcPr>
          <w:p>
            <w:r>
              <w:t>SIPOC, map and PDCA plan</w:t>
            </w:r>
          </w:p>
        </w:tc>
        <w:tc>
          <w:tcPr>
            <w:tcW w:type="dxa" w:w="2592"/>
          </w:tcPr>
          <w:p>
            <w:r>
              <w:t>Boundaries, hand-offs and measures</w:t>
            </w:r>
          </w:p>
        </w:tc>
      </w:tr>
      <w:tr>
        <w:tc>
          <w:tcPr>
            <w:tcW w:type="dxa" w:w="2592"/>
          </w:tcPr>
          <w:p>
            <w:r>
              <w:t>A3 Quality tools</w:t>
            </w:r>
          </w:p>
        </w:tc>
        <w:tc>
          <w:tcPr>
            <w:tcW w:type="dxa" w:w="5184"/>
          </w:tcPr>
          <w:p>
            <w:r>
              <w:t>Pareto/tool-selection/cause analysis</w:t>
            </w:r>
          </w:p>
        </w:tc>
        <w:tc>
          <w:tcPr>
            <w:tcW w:type="dxa" w:w="2592"/>
          </w:tcPr>
          <w:p>
            <w:r>
              <w:t>Fit between question, data and tool</w:t>
            </w:r>
          </w:p>
        </w:tc>
      </w:tr>
      <w:tr>
        <w:tc>
          <w:tcPr>
            <w:tcW w:type="dxa" w:w="2592"/>
          </w:tcPr>
          <w:p>
            <w:r>
              <w:t>A4 Objectives and KPIs</w:t>
            </w:r>
          </w:p>
        </w:tc>
        <w:tc>
          <w:tcPr>
            <w:tcW w:type="dxa" w:w="5184"/>
          </w:tcPr>
          <w:p>
            <w:r>
              <w:t>KPI dictionary, trend and action log</w:t>
            </w:r>
          </w:p>
        </w:tc>
        <w:tc>
          <w:tcPr>
            <w:tcW w:type="dxa" w:w="2592"/>
          </w:tcPr>
          <w:p>
            <w:r>
              <w:t>Definition, ownership and response</w:t>
            </w:r>
          </w:p>
        </w:tc>
      </w:tr>
      <w:tr>
        <w:tc>
          <w:tcPr>
            <w:tcW w:type="dxa" w:w="2592"/>
          </w:tcPr>
          <w:p>
            <w:r>
              <w:t>A5 Process evaluation</w:t>
            </w:r>
          </w:p>
        </w:tc>
        <w:tc>
          <w:tcPr>
            <w:tcW w:type="dxa" w:w="5184"/>
          </w:tcPr>
          <w:p>
            <w:r>
              <w:t>Requirement/evidence matrix</w:t>
            </w:r>
          </w:p>
        </w:tc>
        <w:tc>
          <w:tcPr>
            <w:tcW w:type="dxa" w:w="2592"/>
          </w:tcPr>
          <w:p>
            <w:r>
              <w:t>Conformity versus effectiveness</w:t>
            </w:r>
          </w:p>
        </w:tc>
      </w:tr>
      <w:tr>
        <w:tc>
          <w:tcPr>
            <w:tcW w:type="dxa" w:w="2592"/>
          </w:tcPr>
          <w:p>
            <w:r>
              <w:t>A6 Internal audit</w:t>
            </w:r>
          </w:p>
        </w:tc>
        <w:tc>
          <w:tcPr>
            <w:tcW w:type="dxa" w:w="5184"/>
          </w:tcPr>
          <w:p>
            <w:r>
              <w:t>Plan, checklist and findings register</w:t>
            </w:r>
          </w:p>
        </w:tc>
        <w:tc>
          <w:tcPr>
            <w:tcW w:type="dxa" w:w="2592"/>
          </w:tcPr>
          <w:p>
            <w:r>
              <w:t>Objective evidence and fair findings</w:t>
            </w:r>
          </w:p>
        </w:tc>
      </w:tr>
      <w:tr>
        <w:tc>
          <w:tcPr>
            <w:tcW w:type="dxa" w:w="2592"/>
          </w:tcPr>
          <w:p>
            <w:r>
              <w:t>A7 CAPA follow-up</w:t>
            </w:r>
          </w:p>
        </w:tc>
        <w:tc>
          <w:tcPr>
            <w:tcW w:type="dxa" w:w="5184"/>
          </w:tcPr>
          <w:p>
            <w:r>
              <w:t>NCR, cause and effectiveness plan</w:t>
            </w:r>
          </w:p>
        </w:tc>
        <w:tc>
          <w:tcPr>
            <w:tcW w:type="dxa" w:w="2592"/>
          </w:tcPr>
          <w:p>
            <w:r>
              <w:t>Correction versus corrective action</w:t>
            </w:r>
          </w:p>
        </w:tc>
      </w:tr>
      <w:tr>
        <w:tc>
          <w:tcPr>
            <w:tcW w:type="dxa" w:w="2592"/>
          </w:tcPr>
          <w:p>
            <w:r>
              <w:t>A8 Improvement report</w:t>
            </w:r>
          </w:p>
        </w:tc>
        <w:tc>
          <w:tcPr>
            <w:tcW w:type="dxa" w:w="5184"/>
          </w:tcPr>
          <w:p>
            <w:r>
              <w:t>Report, tracker and results table</w:t>
            </w:r>
          </w:p>
        </w:tc>
        <w:tc>
          <w:tcPr>
            <w:tcW w:type="dxa" w:w="2592"/>
          </w:tcPr>
          <w:p>
            <w:r>
              <w:t>Traceability and organisational reporting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