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verified maintenance snapshot</w:t>
      </w:r>
    </w:p>
    <w:p>
      <w:pPr>
        <w:pStyle w:val="Heading1"/>
      </w:pPr>
      <w:r>
        <w:t>Source and scope</w:t>
      </w:r>
    </w:p>
    <w:p>
      <w:r>
        <w:t>Synthetic tblWorkOrders: 120 records; all filters All; 30 September 2026.</w:t>
      </w:r>
    </w:p>
    <w:p>
      <w:pPr>
        <w:pStyle w:val="Heading1"/>
      </w:pPr>
      <w:r>
        <w:t>Verified controls</w:t>
      </w:r>
    </w:p>
    <w:p>
      <w:r>
        <w:t>{</w:t>
        <w:br/>
        <w:t xml:space="preserve">  "total": 120,</w:t>
        <w:br/>
        <w:t xml:space="preserve">  "closed": 48,</w:t>
        <w:br/>
        <w:t xml:space="preserve">  "cancelled": 12,</w:t>
        <w:br/>
        <w:t xml:space="preserve">  "backlog": 60,</w:t>
        <w:br/>
        <w:t xml:space="preserve">  "overdue": 50,</w:t>
        <w:br/>
        <w:t xml:space="preserve">  "unassigned_backlog": 6,</w:t>
        <w:br/>
        <w:t xml:space="preserve">  "on_time_closed": 30,</w:t>
        <w:br/>
        <w:t xml:space="preserve">  "on_time_rate": 0.625,</w:t>
        <w:br/>
        <w:t xml:space="preserve">  "cost": 35827.5,</w:t>
        <w:br/>
        <w:t xml:space="preserve">  "site_counts": {</w:t>
        <w:br/>
        <w:t xml:space="preserve">    "Woodlands Hub": 24,</w:t>
        <w:br/>
        <w:t xml:space="preserve">    "Jurong Depot": 24,</w:t>
        <w:br/>
        <w:t xml:space="preserve">    "Tampines Centre": 24,</w:t>
        <w:br/>
        <w:t xml:space="preserve">    "Paya Lebar Office": 24,</w:t>
        <w:br/>
        <w:t xml:space="preserve">    "Changi Workshop": 24</w:t>
        <w:br/>
        <w:t xml:space="preserve">  },</w:t>
        <w:br/>
        <w:t xml:space="preserve">  "category_counts": {</w:t>
        <w:br/>
        <w:t xml:space="preserve">    "HVAC": 24,</w:t>
        <w:br/>
        <w:t xml:space="preserve">    "Electrical": 24,</w:t>
        <w:br/>
        <w:t xml:space="preserve">    "Plumbing": 24,</w:t>
        <w:br/>
        <w:t xml:space="preserve">    "Fire Safety": 24,</w:t>
        <w:br/>
        <w:t xml:space="preserve">    "General Repair": 24</w:t>
        <w:br/>
        <w:t xml:space="preserve">  }</w:t>
        <w:br/>
        <w:t>}</w:t>
      </w:r>
    </w:p>
    <w:p>
      <w:pPr>
        <w:pStyle w:val="Heading1"/>
      </w:pPr>
      <w:r>
        <w:t>Interpretation</w:t>
      </w:r>
    </w:p>
    <w:p>
      <w:r>
        <w:t>Values describe this fictional snapshot. Category mix is a count, not evidence of root cause. Proposals are unapproved.</w:t>
      </w:r>
    </w:p>
    <w:p>
      <w:pPr>
        <w:pStyle w:val="Heading1"/>
      </w:pPr>
      <w:r>
        <w:t>Presentation outline</w:t>
      </w:r>
    </w:p>
    <w:p>
      <w:r>
        <w:t>Portfolio; backlog; mix; SLA; capacity; actions; decision. Reconcile every figure against the dashboard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