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spacing w:before="80" w:after="40"/>
        <w:jc w:val="center"/>
      </w:pPr>
      <w:r>
        <w:rPr>
          <w:b/>
          <w:color w:val="111827"/>
          <w:sz w:val="40"/>
        </w:rPr>
        <w:t>Generative AI for Agile Project Management</w:t>
      </w:r>
    </w:p>
    <w:p>
      <w:pPr>
        <w:spacing w:before="80" w:after="280"/>
        <w:jc w:val="center"/>
      </w:pPr>
      <w:r>
        <w:rPr>
          <w:b w:val="0"/>
          <w:color w:val="111827"/>
          <w:sz w:val="24"/>
        </w:rPr>
        <w:t>Course Code: C324</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4.0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3.0</w:t>
            </w:r>
          </w:p>
        </w:tc>
        <w:tc>
          <w:tcPr>
            <w:tcW w:type="dxa" w:w="2160"/>
          </w:tcPr>
          <w:p>
            <w:r/>
            <w:r>
              <w:rPr>
                <w:sz w:val="19"/>
              </w:rPr>
              <w:t>1 January 2026</w:t>
            </w:r>
          </w:p>
        </w:tc>
        <w:tc>
          <w:tcPr>
            <w:tcW w:type="dxa" w:w="2160"/>
          </w:tcPr>
          <w:p>
            <w:r/>
            <w:r>
              <w:rPr>
                <w:sz w:val="19"/>
              </w:rPr>
              <w:t>Legacy master trainer deck and lesson plan (v3) — 4 topics, exercise-based delivery.</w:t>
            </w:r>
          </w:p>
        </w:tc>
        <w:tc>
          <w:tcPr>
            <w:tcW w:type="dxa" w:w="2160"/>
          </w:tcPr>
          <w:p>
            <w:r/>
            <w:r>
              <w:rPr>
                <w:sz w:val="19"/>
              </w:rPr>
              <w:t>Dr. Alfred Ang</w:t>
            </w:r>
          </w:p>
        </w:tc>
      </w:tr>
      <w:tr>
        <w:tc>
          <w:tcPr>
            <w:tcW w:type="dxa" w:w="2160"/>
          </w:tcPr>
          <w:p>
            <w:r/>
            <w:r>
              <w:rPr>
                <w:sz w:val="19"/>
              </w:rPr>
              <w:t>4.0</w:t>
            </w:r>
          </w:p>
        </w:tc>
        <w:tc>
          <w:tcPr>
            <w:tcW w:type="dxa" w:w="2160"/>
          </w:tcPr>
          <w:p>
            <w:r/>
            <w:r>
              <w:rPr>
                <w:sz w:val="19"/>
              </w:rPr>
              <w:t>17 August 2026</w:t>
            </w:r>
          </w:p>
        </w:tc>
        <w:tc>
          <w:tcPr>
            <w:tcW w:type="dxa" w:w="2160"/>
          </w:tcPr>
          <w:p>
            <w:r/>
            <w:r>
              <w:rPr>
                <w:sz w:val="19"/>
              </w:rPr>
              <w:t>Major revision. Content beefed up from Thoughtworks, Adaptovate, BMC, PMI, UX Magazine, The Design Gym, PremierAgile and Startup Frontier. Twelve real-world case-study activities (Airbnb, Netflix/Blockbuster, GE Adventure Series, IDEO, Spotify, IBM, DBS, Boeing 737 MAX) replace the generic exercises, each with scenario, discussion questions and debrief. Design Thinking Studio and Padlet Classroom Board adopted as the class ed-tools.</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Course Information</w:t>
        <w:tab/>
        <w:t>4</w:t>
      </w:r>
    </w:p>
    <w:p>
      <w:pPr>
        <w:tabs>
          <w:tab w:pos="9072" w:val="right" w:leader="dot"/>
        </w:tabs>
        <w:spacing w:after="60"/>
      </w:pPr>
      <w:r>
        <w:rPr>
          <w:rFonts w:ascii="Arial" w:hAnsi="Arial"/>
          <w:b/>
          <w:color w:val="333333"/>
          <w:sz w:val="22"/>
        </w:rPr>
        <w:t>Learning Outcomes</w:t>
        <w:tab/>
        <w:t>4</w:t>
      </w:r>
    </w:p>
    <w:p>
      <w:pPr>
        <w:tabs>
          <w:tab w:pos="9072" w:val="right" w:leader="dot"/>
        </w:tabs>
        <w:spacing w:after="60"/>
      </w:pPr>
      <w:r>
        <w:rPr>
          <w:rFonts w:ascii="Arial" w:hAnsi="Arial"/>
          <w:b/>
          <w:color w:val="333333"/>
          <w:sz w:val="22"/>
        </w:rPr>
        <w:t>Skills Framework Alignment</w:t>
        <w:tab/>
        <w:t>4</w:t>
      </w:r>
    </w:p>
    <w:p>
      <w:pPr>
        <w:tabs>
          <w:tab w:pos="9072" w:val="right" w:leader="dot"/>
        </w:tabs>
        <w:spacing w:after="60"/>
      </w:pPr>
      <w:r>
        <w:rPr>
          <w:rFonts w:ascii="Arial" w:hAnsi="Arial"/>
          <w:b/>
          <w:color w:val="333333"/>
          <w:sz w:val="22"/>
        </w:rPr>
        <w:t>Teaching and Learning Methods</w:t>
        <w:tab/>
        <w:t>5</w:t>
      </w:r>
    </w:p>
    <w:p>
      <w:pPr>
        <w:tabs>
          <w:tab w:pos="9072" w:val="right" w:leader="dot"/>
        </w:tabs>
        <w:spacing w:after="60"/>
      </w:pPr>
      <w:r>
        <w:rPr>
          <w:rFonts w:ascii="Arial" w:hAnsi="Arial"/>
          <w:b/>
          <w:color w:val="333333"/>
          <w:sz w:val="22"/>
        </w:rPr>
        <w:t>Learning Resources</w:t>
        <w:tab/>
        <w:t>5</w:t>
      </w:r>
    </w:p>
    <w:p>
      <w:pPr>
        <w:tabs>
          <w:tab w:pos="9072" w:val="right" w:leader="dot"/>
        </w:tabs>
        <w:spacing w:after="60"/>
      </w:pPr>
      <w:r>
        <w:rPr>
          <w:rFonts w:ascii="Arial" w:hAnsi="Arial"/>
          <w:b/>
          <w:color w:val="333333"/>
          <w:sz w:val="22"/>
        </w:rPr>
        <w:t>Course Schedule</w:t>
        <w:tab/>
        <w:t>6</w:t>
      </w:r>
    </w:p>
    <w:p>
      <w:pPr>
        <w:tabs>
          <w:tab w:pos="9072" w:val="right" w:leader="dot"/>
        </w:tabs>
        <w:spacing w:after="60"/>
        <w:ind w:left="432"/>
      </w:pPr>
      <w:r>
        <w:rPr>
          <w:rFonts w:ascii="Arial" w:hAnsi="Arial"/>
          <w:b w:val="0"/>
          <w:color w:val="333333"/>
          <w:sz w:val="21"/>
        </w:rPr>
        <w:t>Day 1 — Foundations, Problem Framing and Ideation with GenAI</w:t>
        <w:tab/>
        <w:t>6</w:t>
      </w:r>
    </w:p>
    <w:p>
      <w:pPr>
        <w:tabs>
          <w:tab w:pos="9072" w:val="right" w:leader="dot"/>
        </w:tabs>
        <w:spacing w:after="60"/>
        <w:ind w:left="432"/>
      </w:pPr>
      <w:r>
        <w:rPr>
          <w:rFonts w:ascii="Arial" w:hAnsi="Arial"/>
          <w:b w:val="0"/>
          <w:color w:val="333333"/>
          <w:sz w:val="21"/>
        </w:rPr>
        <w:t>Day 2 — Agile Delivery and Scaling Innovation</w:t>
        <w:tab/>
        <w:t>7</w:t>
      </w:r>
    </w:p>
    <w:p>
      <w:pPr>
        <w:tabs>
          <w:tab w:pos="9072" w:val="right" w:leader="dot"/>
        </w:tabs>
        <w:spacing w:after="60"/>
      </w:pPr>
      <w:r>
        <w:rPr>
          <w:rFonts w:ascii="Arial" w:hAnsi="Arial"/>
          <w:b/>
          <w:color w:val="333333"/>
          <w:sz w:val="22"/>
        </w:rPr>
        <w:t>Activity Reference (aligned to topics and learning outcomes)</w:t>
        <w:tab/>
        <w:t>8</w:t>
      </w:r>
    </w:p>
    <w:p>
      <w:pPr>
        <w:tabs>
          <w:tab w:pos="9072" w:val="right" w:leader="dot"/>
        </w:tabs>
        <w:spacing w:after="60"/>
      </w:pPr>
      <w:r>
        <w:rPr>
          <w:rFonts w:ascii="Arial" w:hAnsi="Arial"/>
          <w:b/>
          <w:color w:val="333333"/>
          <w:sz w:val="22"/>
        </w:rPr>
        <w:t>Detailed Activity Schedule</w:t>
        <w:tab/>
        <w:t>9</w:t>
      </w:r>
    </w:p>
    <w:p>
      <w:r>
        <w:br w:type="page"/>
      </w:r>
    </w:p>
    <w:p>
      <w:pPr>
        <w:pStyle w:val="Heading1"/>
      </w:pPr>
      <w:r>
        <w:t>Course Information</w:t>
      </w:r>
    </w:p>
    <w:tbl>
      <w:tblPr>
        <w:tblStyle w:val="TableGrid"/>
        <w:tblW w:type="auto" w:w="0"/>
        <w:tblLook w:firstColumn="1" w:firstRow="1" w:lastColumn="0" w:lastRow="0" w:noHBand="0" w:noVBand="1" w:val="04A0"/>
      </w:tblPr>
      <w:tblGrid>
        <w:gridCol w:w="4320"/>
        <w:gridCol w:w="4320"/>
      </w:tblGrid>
      <w:tr>
        <w:tc>
          <w:tcPr>
            <w:tcW w:type="dxa" w:w="4320"/>
            <w:shd w:val="clear" w:color="auto" w:fill="E8F0FE"/>
          </w:tcPr>
          <w:p>
            <w:r/>
            <w:r>
              <w:rPr>
                <w:b/>
                <w:sz w:val="20"/>
              </w:rPr>
              <w:t>Course Title</w:t>
            </w:r>
          </w:p>
        </w:tc>
        <w:tc>
          <w:tcPr>
            <w:tcW w:type="dxa" w:w="4320"/>
          </w:tcPr>
          <w:p>
            <w:r>
              <w:t>Generative AI for Agile Project Management</w:t>
            </w:r>
            <w:r>
              <w:rPr>
                <w:sz w:val="20"/>
              </w:rPr>
            </w:r>
          </w:p>
        </w:tc>
      </w:tr>
      <w:tr>
        <w:tc>
          <w:tcPr>
            <w:tcW w:type="dxa" w:w="4320"/>
            <w:shd w:val="clear" w:color="auto" w:fill="E8F0FE"/>
          </w:tcPr>
          <w:p>
            <w:r>
              <w:t>Course Reference</w:t>
            </w:r>
            <w:r>
              <w:rPr>
                <w:b/>
                <w:sz w:val="20"/>
              </w:rPr>
            </w:r>
          </w:p>
        </w:tc>
        <w:tc>
          <w:tcPr>
            <w:tcW w:type="dxa" w:w="4320"/>
          </w:tcPr>
          <w:p>
            <w:r>
              <w:t>C324</w:t>
            </w:r>
            <w:r>
              <w:rPr>
                <w:sz w:val="20"/>
              </w:rPr>
            </w:r>
          </w:p>
        </w:tc>
      </w:tr>
      <w:tr>
        <w:tc>
          <w:tcPr>
            <w:tcW w:type="dxa" w:w="4320"/>
            <w:shd w:val="clear" w:color="auto" w:fill="E8F0FE"/>
          </w:tcPr>
          <w:p>
            <w:r/>
            <w:r>
              <w:rPr>
                <w:b/>
                <w:sz w:val="20"/>
              </w:rPr>
              <w:t>Training Provider</w:t>
            </w:r>
          </w:p>
        </w:tc>
        <w:tc>
          <w:tcPr>
            <w:tcW w:type="dxa" w:w="4320"/>
          </w:tcPr>
          <w:p>
            <w:r/>
            <w:r>
              <w:rPr>
                <w:sz w:val="20"/>
              </w:rPr>
              <w:t>Tertiary Infotech Academy Pte Ltd  (UEN 201200696W)</w:t>
            </w:r>
          </w:p>
        </w:tc>
      </w:tr>
      <w:tr>
        <w:tc>
          <w:tcPr>
            <w:tcW w:type="dxa" w:w="4320"/>
            <w:shd w:val="clear" w:color="auto" w:fill="E8F0FE"/>
          </w:tcPr>
          <w:p>
            <w:r/>
            <w:r>
              <w:rPr>
                <w:b/>
                <w:sz w:val="20"/>
              </w:rPr>
              <w:t>Duration</w:t>
            </w:r>
          </w:p>
        </w:tc>
        <w:tc>
          <w:tcPr>
            <w:tcW w:type="dxa" w:w="4320"/>
          </w:tcPr>
          <w:p>
            <w:r>
              <w:t>2 days · 7.5 instructional hours per day (15 instructional hours)</w:t>
            </w:r>
            <w:r>
              <w:rPr>
                <w:sz w:val="20"/>
              </w:rPr>
            </w:r>
          </w:p>
        </w:tc>
      </w:tr>
      <w:tr>
        <w:tc>
          <w:tcPr>
            <w:tcW w:type="dxa" w:w="4320"/>
            <w:shd w:val="clear" w:color="auto" w:fill="E8F0FE"/>
          </w:tcPr>
          <w:p>
            <w:r/>
            <w:r>
              <w:rPr>
                <w:b/>
                <w:sz w:val="20"/>
              </w:rPr>
              <w:t>Daily Timing</w:t>
            </w:r>
          </w:p>
        </w:tc>
        <w:tc>
          <w:tcPr>
            <w:tcW w:type="dxa" w:w="4320"/>
          </w:tcPr>
          <w:p>
            <w:r>
              <w:t>9:30 am – 5:30 pm (30-minute lunch break)</w:t>
            </w:r>
            <w:r>
              <w:rPr>
                <w:sz w:val="20"/>
              </w:rPr>
            </w:r>
          </w:p>
        </w:tc>
      </w:tr>
      <w:tr>
        <w:tc>
          <w:tcPr>
            <w:tcW w:type="dxa" w:w="4320"/>
            <w:shd w:val="clear" w:color="auto" w:fill="E8F0FE"/>
          </w:tcPr>
          <w:p>
            <w:r/>
            <w:r>
              <w:rPr>
                <w:b/>
                <w:sz w:val="20"/>
              </w:rPr>
              <w:t>Mode</w:t>
            </w:r>
          </w:p>
        </w:tc>
        <w:tc>
          <w:tcPr>
            <w:tcW w:type="dxa" w:w="4320"/>
          </w:tcPr>
          <w:p>
            <w:r/>
            <w:r>
              <w:rPr>
                <w:sz w:val="20"/>
              </w:rPr>
              <w:t>Instructor-led, case-study based, with collaborative online ed-tools</w:t>
            </w:r>
          </w:p>
        </w:tc>
      </w:tr>
      <w:tr>
        <w:tc>
          <w:tcPr>
            <w:tcW w:type="dxa" w:w="4320"/>
            <w:shd w:val="clear" w:color="auto" w:fill="E8F0FE"/>
          </w:tcPr>
          <w:p>
            <w:r/>
            <w:r>
              <w:rPr>
                <w:b/>
                <w:sz w:val="20"/>
              </w:rPr>
              <w:t>Trainer</w:t>
            </w:r>
          </w:p>
        </w:tc>
        <w:tc>
          <w:tcPr>
            <w:tcW w:type="dxa" w:w="4320"/>
          </w:tcPr>
          <w:p>
            <w:r/>
            <w:r>
              <w:rPr>
                <w:sz w:val="20"/>
              </w:rPr>
              <w:t>Dr. Alfred Ang</w:t>
            </w:r>
          </w:p>
        </w:tc>
      </w:tr>
    </w:tbl>
    <w:p>
      <w:pPr>
        <w:pStyle w:val="Heading1"/>
      </w:pPr>
      <w:r>
        <w:t>Learning Outcomes</w:t>
      </w:r>
    </w:p>
    <w:p>
      <w:r>
        <w:t>On completion of this course, learners will be able to:</w:t>
      </w:r>
    </w:p>
    <w:p>
      <w:pPr>
        <w:pStyle w:val="ListBullet"/>
      </w:pPr>
      <w:r>
        <w:rPr>
          <w:sz w:val="21"/>
        </w:rPr>
        <w:t>LO1: Integrate design thinking methodologies and agile principles to drive organisational innovation using generative AI.</w:t>
      </w:r>
    </w:p>
    <w:p>
      <w:pPr>
        <w:pStyle w:val="ListBullet"/>
      </w:pPr>
      <w:r>
        <w:rPr>
          <w:sz w:val="21"/>
        </w:rPr>
        <w:t>LO2: Synthesise stakeholder inputs to uncover end-user needs for successful innovation.</w:t>
      </w:r>
    </w:p>
    <w:p>
      <w:pPr>
        <w:pStyle w:val="ListBullet"/>
      </w:pPr>
      <w:r>
        <w:rPr>
          <w:sz w:val="21"/>
        </w:rPr>
        <w:t>LO3: Lead design thinking projects using project management tools and techniques to enhance organisational performance.</w:t>
      </w:r>
    </w:p>
    <w:p>
      <w:pPr>
        <w:pStyle w:val="ListBullet"/>
      </w:pPr>
      <w:r>
        <w:rPr>
          <w:sz w:val="21"/>
        </w:rPr>
        <w:t>LO4: Develop strategies for agile design thinking to enhance product and service innovation.</w:t>
      </w:r>
    </w:p>
    <w:p>
      <w:pPr>
        <w:pStyle w:val="Heading1"/>
      </w:pPr>
      <w:r>
        <w:t>Skills Framework Alignment</w:t>
      </w:r>
    </w:p>
    <w:p>
      <w:r>
        <w:t>Abilities:</w:t>
      </w:r>
    </w:p>
    <w:p>
      <w:r>
        <w:t>Knowledge:</w:t>
      </w:r>
    </w:p>
    <w:p>
      <w:pPr>
        <w:pStyle w:val="Heading1"/>
      </w:pPr>
      <w:r>
        <w:t>Teaching and Learning Methods</w:t>
      </w:r>
    </w:p>
    <w:p>
      <w:pPr>
        <w:pStyle w:val="ListBullet"/>
      </w:pPr>
      <w:r>
        <w:rPr>
          <w:sz w:val="21"/>
        </w:rPr>
        <w:t>Trainer-led concept delivery using a highly visual slide deck (diagrams, comparison tables and frameworks rather than bullet walls).</w:t>
      </w:r>
    </w:p>
    <w:p>
      <w:pPr>
        <w:pStyle w:val="ListBullet"/>
      </w:pPr>
      <w:r>
        <w:rPr>
          <w:sz w:val="21"/>
        </w:rPr>
        <w:t>Twelve real-world case-study activities, each carrying a documented case, a workplace scenario, five discussion questions and a trainer debrief.</w:t>
      </w:r>
    </w:p>
    <w:p>
      <w:pPr>
        <w:pStyle w:val="ListBullet"/>
      </w:pPr>
      <w:r>
        <w:rPr>
          <w:sz w:val="21"/>
        </w:rPr>
        <w:t>Collaborative group work in groups of 3–5 using two online ed-tools: the Design Thinking Studio (5-stage workspace) and the Padlet Classroom Board.</w:t>
      </w:r>
    </w:p>
    <w:p>
      <w:pPr>
        <w:pStyle w:val="ListBullet"/>
      </w:pPr>
      <w:r>
        <w:rPr>
          <w:sz w:val="21"/>
        </w:rPr>
        <w:t>Guided use of generative AI tools (ChatGPT / Microsoft Copilot) with explicit critique of AI output against evidence.</w:t>
      </w:r>
    </w:p>
    <w:p>
      <w:pPr>
        <w:pStyle w:val="ListBullet"/>
      </w:pPr>
      <w:r>
        <w:rPr>
          <w:sz w:val="21"/>
        </w:rPr>
        <w:t>Cross-group peer review — groups critique each other's output and defend their reasoning.</w:t>
      </w:r>
    </w:p>
    <w:p>
      <w:pPr>
        <w:pStyle w:val="ListBullet"/>
      </w:pPr>
      <w:r>
        <w:rPr>
          <w:sz w:val="21"/>
        </w:rPr>
        <w:t>Continuous formative feedback from the trainer during each activity, and a structured debrief after each one.</w:t>
      </w:r>
    </w:p>
    <w:p>
      <w:pPr>
        <w:pStyle w:val="Heading1"/>
      </w:pPr>
      <w:r>
        <w:t>Learning Resources</w:t>
      </w:r>
    </w:p>
    <w:p>
      <w:pPr>
        <w:pStyle w:val="ListBullet"/>
      </w:pPr>
      <w:r>
        <w:rPr>
          <w:sz w:val="21"/>
        </w:rPr>
        <w:t>Trainer Slides (PPT/PDF), Learner Guide (PDF) and this Lesson Plan (PDF) — downloadable from the LMS at https://lms-tms.tertiaryinfotech.com.</w:t>
      </w:r>
    </w:p>
    <w:p>
      <w:pPr>
        <w:pStyle w:val="ListBullet"/>
      </w:pPr>
      <w:r>
        <w:rPr>
          <w:sz w:val="21"/>
        </w:rPr>
        <w:t>Twelve individual activity briefs (PDF), one per activity, each containing the case, the scenario, the discussion questions, the step-by-step instructions and the debrief.</w:t>
      </w:r>
    </w:p>
    <w:p>
      <w:pPr>
        <w:pStyle w:val="ListBullet"/>
      </w:pPr>
      <w:r>
        <w:rPr>
          <w:sz w:val="21"/>
        </w:rPr>
        <w:t>Design Thinking Studio — https://alfredang.github.io/designthinking/</w:t>
      </w:r>
    </w:p>
    <w:p>
      <w:pPr>
        <w:pStyle w:val="ListBullet"/>
      </w:pPr>
      <w:r>
        <w:rPr>
          <w:sz w:val="21"/>
        </w:rPr>
        <w:t>Padlet Classroom Board — https://alfredang.github.io/padlet/</w:t>
      </w:r>
    </w:p>
    <w:p>
      <w:pPr>
        <w:pStyle w:val="ListBullet"/>
      </w:pPr>
      <w:r>
        <w:rPr>
          <w:sz w:val="21"/>
        </w:rPr>
        <w:t>A generative AI assistant (ChatGPT or Microsoft Copilot) and a laptop with a modern web browser.</w:t>
      </w:r>
    </w:p>
    <w:p>
      <w:pPr>
        <w:pStyle w:val="Heading1"/>
      </w:pPr>
      <w:r>
        <w:t>Course Schedule</w:t>
      </w:r>
    </w:p>
    <w:p>
      <w:pPr>
        <w:pStyle w:val="Heading2"/>
      </w:pPr>
      <w:r>
        <w:t>Day 1 — Foundations, Problem Framing and Ideation with GenAI</w:t>
      </w:r>
    </w:p>
    <w:tbl>
      <w:tblPr>
        <w:tblStyle w:val="TableGrid"/>
        <w:tblW w:type="auto" w:w="0"/>
        <w:jc w:val="center"/>
        <w:tblLook w:firstColumn="1" w:firstRow="1" w:lastColumn="0" w:lastRow="0" w:noHBand="0" w:noVBand="1" w:val="04A0"/>
      </w:tblPr>
      <w:tblGrid>
        <w:gridCol w:w="2880"/>
        <w:gridCol w:w="2880"/>
        <w:gridCol w:w="2880"/>
      </w:tblGrid>
      <w:tr>
        <w:tc>
          <w:tcPr>
            <w:tcW w:type="dxa" w:w="1656"/>
            <w:shd w:val="clear" w:color="auto" w:fill="1F6FEB"/>
          </w:tcPr>
          <w:p>
            <w:r/>
            <w:r>
              <w:rPr>
                <w:rFonts w:ascii="Arial" w:hAnsi="Arial"/>
                <w:b/>
                <w:color w:val="FFFFFF"/>
                <w:sz w:val="20"/>
              </w:rPr>
              <w:t>Time</w:t>
            </w:r>
          </w:p>
        </w:tc>
        <w:tc>
          <w:tcPr>
            <w:tcW w:type="dxa" w:w="1296"/>
            <w:shd w:val="clear" w:color="auto" w:fill="1F6FEB"/>
          </w:tcPr>
          <w:p>
            <w:r/>
            <w:r>
              <w:rPr>
                <w:rFonts w:ascii="Arial" w:hAnsi="Arial"/>
                <w:b/>
                <w:color w:val="FFFFFF"/>
                <w:sz w:val="20"/>
              </w:rPr>
              <w:t>Duration</w:t>
            </w:r>
          </w:p>
        </w:tc>
        <w:tc>
          <w:tcPr>
            <w:tcW w:type="dxa" w:w="6840"/>
            <w:shd w:val="clear" w:color="auto" w:fill="1F6FEB"/>
          </w:tcPr>
          <w:p>
            <w:r/>
            <w:r>
              <w:rPr>
                <w:rFonts w:ascii="Arial" w:hAnsi="Arial"/>
                <w:b/>
                <w:color w:val="FFFFFF"/>
                <w:sz w:val="20"/>
              </w:rPr>
              <w:t>Topic / Activity</w:t>
            </w:r>
          </w:p>
        </w:tc>
      </w:tr>
      <w:tr>
        <w:tc>
          <w:tcPr>
            <w:tcW w:type="dxa" w:w="1656"/>
            <w:shd w:val="clear" w:color="auto" w:fill="E8F0FE"/>
          </w:tcPr>
          <w:p>
            <w:r>
              <w:t>9:30–10:00</w:t>
            </w:r>
            <w:r>
              <w:rPr>
                <w:rFonts w:ascii="Arial" w:hAnsi="Arial"/>
                <w:b/>
                <w:sz w:val="19"/>
              </w:rPr>
            </w:r>
          </w:p>
        </w:tc>
        <w:tc>
          <w:tcPr>
            <w:tcW w:type="dxa" w:w="1296"/>
            <w:shd w:val="clear" w:color="auto" w:fill="E8F0FE"/>
          </w:tcPr>
          <w:p>
            <w:r>
              <w:t>30 min</w:t>
            </w:r>
            <w:r>
              <w:rPr>
                <w:rFonts w:ascii="Arial" w:hAnsi="Arial"/>
                <w:b w:val="0"/>
                <w:sz w:val="19"/>
              </w:rPr>
            </w:r>
          </w:p>
        </w:tc>
        <w:tc>
          <w:tcPr>
            <w:tcW w:type="dxa" w:w="6840"/>
            <w:shd w:val="clear" w:color="auto" w:fill="E8F0FE"/>
          </w:tcPr>
          <w:p>
            <w:r>
              <w:t>Welcome, trainer and learner introductions, ground rules, learning outcomes and course outline. Introduction to the two course ed-tools: Design Thinking Studio and the Padlet Classroom Board.</w:t>
            </w:r>
            <w:r>
              <w:rPr>
                <w:rFonts w:ascii="Arial" w:hAnsi="Arial"/>
                <w:b/>
                <w:sz w:val="19"/>
              </w:rPr>
            </w:r>
          </w:p>
        </w:tc>
      </w:tr>
      <w:tr>
        <w:tc>
          <w:tcPr>
            <w:tcW w:type="dxa" w:w="1656"/>
            <w:shd w:val="clear" w:color="auto" w:fill="FFF4E5"/>
          </w:tcPr>
          <w:p>
            <w:r>
              <w:t>10:00–11:00</w:t>
            </w:r>
            <w:r>
              <w:rPr>
                <w:rFonts w:ascii="Arial" w:hAnsi="Arial"/>
                <w:b w:val="0"/>
                <w:sz w:val="19"/>
              </w:rPr>
            </w:r>
          </w:p>
        </w:tc>
        <w:tc>
          <w:tcPr>
            <w:tcW w:type="dxa" w:w="1296"/>
            <w:shd w:val="clear" w:color="auto" w:fill="FFF4E5"/>
          </w:tcPr>
          <w:p>
            <w:r>
              <w:t>60 min</w:t>
            </w:r>
            <w:r>
              <w:rPr>
                <w:rFonts w:ascii="Arial" w:hAnsi="Arial"/>
                <w:b w:val="0"/>
                <w:sz w:val="19"/>
              </w:rPr>
            </w:r>
          </w:p>
        </w:tc>
        <w:tc>
          <w:tcPr>
            <w:tcW w:type="dxa" w:w="6840"/>
            <w:shd w:val="clear" w:color="auto" w:fill="FFF4E5"/>
          </w:tcPr>
          <w:p>
            <w:r>
              <w:t>Topic 1 — Foundations of Design Thinking, Agile and Generative AI: what design thinking is; the three mindsets (Design Thinking, Lean, Agile) and the question each answers; the Double Diamond; the five stages; wicked problems and why framing comes first.</w:t>
            </w:r>
            <w:r>
              <w:rPr>
                <w:rFonts w:ascii="Arial" w:hAnsi="Arial"/>
                <w:b w:val="0"/>
                <w:sz w:val="19"/>
              </w:rPr>
            </w:r>
          </w:p>
        </w:tc>
      </w:tr>
      <w:tr>
        <w:tc>
          <w:tcPr>
            <w:tcW w:type="dxa" w:w="1656"/>
            <w:shd w:val="clear" w:color="auto" w:fill="E8F0FE"/>
          </w:tcPr>
          <w:p>
            <w:r>
              <w:t>11:00–11:45</w:t>
            </w:r>
            <w:r>
              <w:rPr>
                <w:rFonts w:ascii="Arial" w:hAnsi="Arial"/>
                <w:b/>
                <w:sz w:val="19"/>
              </w:rPr>
            </w:r>
          </w:p>
        </w:tc>
        <w:tc>
          <w:tcPr>
            <w:tcW w:type="dxa" w:w="1296"/>
            <w:shd w:val="clear" w:color="auto" w:fill="E8F0FE"/>
          </w:tcPr>
          <w:p>
            <w:r>
              <w:t>45 min</w:t>
            </w:r>
            <w:r>
              <w:rPr>
                <w:rFonts w:ascii="Arial" w:hAnsi="Arial"/>
                <w:b w:val="0"/>
                <w:sz w:val="19"/>
              </w:rPr>
            </w:r>
          </w:p>
        </w:tc>
        <w:tc>
          <w:tcPr>
            <w:tcW w:type="dxa" w:w="6840"/>
            <w:shd w:val="clear" w:color="auto" w:fill="E8F0FE"/>
          </w:tcPr>
          <w:p>
            <w:r>
              <w:t>Topic 1 continued — Product development through design thinking and agile; how generative AI enhances the loop; where AI must not replace human judgement; latest trends in innovation.</w:t>
            </w:r>
            <w:r>
              <w:rPr>
                <w:rFonts w:ascii="Arial" w:hAnsi="Arial"/>
                <w:b/>
                <w:sz w:val="19"/>
              </w:rPr>
            </w:r>
          </w:p>
        </w:tc>
      </w:tr>
      <w:tr>
        <w:tc>
          <w:tcPr>
            <w:tcW w:type="dxa" w:w="1656"/>
          </w:tcPr>
          <w:p>
            <w:r>
              <w:t>11:45–12:30</w:t>
            </w:r>
            <w:r>
              <w:rPr>
                <w:rFonts w:ascii="Arial" w:hAnsi="Arial"/>
                <w:b w:val="0"/>
                <w:sz w:val="19"/>
              </w:rPr>
            </w:r>
          </w:p>
        </w:tc>
        <w:tc>
          <w:tcPr>
            <w:tcW w:type="dxa" w:w="1296"/>
          </w:tcPr>
          <w:p>
            <w:r>
              <w:t>45 min</w:t>
            </w:r>
            <w:r>
              <w:rPr>
                <w:rFonts w:ascii="Arial" w:hAnsi="Arial"/>
                <w:b w:val="0"/>
                <w:sz w:val="19"/>
              </w:rPr>
            </w:r>
          </w:p>
        </w:tc>
        <w:tc>
          <w:tcPr>
            <w:tcW w:type="dxa" w:w="6840"/>
          </w:tcPr>
          <w:p>
            <w:r>
              <w:t>Hands-on case study: Activity 1: Airbnb — Diagnosing Why a Method Alone Does Not Save a Business</w:t>
            </w:r>
            <w:r>
              <w:rPr>
                <w:rFonts w:ascii="Arial" w:hAnsi="Arial"/>
                <w:b w:val="0"/>
                <w:sz w:val="19"/>
              </w:rPr>
            </w:r>
          </w:p>
        </w:tc>
      </w:tr>
      <w:tr>
        <w:tc>
          <w:tcPr>
            <w:tcW w:type="dxa" w:w="1656"/>
            <w:shd w:val="clear" w:color="auto" w:fill="FDE9D9"/>
          </w:tcPr>
          <w:p>
            <w:r>
              <w:t>12:30–13:00</w:t>
            </w:r>
            <w:r>
              <w:rPr>
                <w:rFonts w:ascii="Arial" w:hAnsi="Arial"/>
                <w:b w:val="0"/>
                <w:sz w:val="19"/>
              </w:rPr>
            </w:r>
          </w:p>
        </w:tc>
        <w:tc>
          <w:tcPr>
            <w:tcW w:type="dxa" w:w="1296"/>
            <w:shd w:val="clear" w:color="auto" w:fill="FDE9D9"/>
          </w:tcPr>
          <w:p>
            <w:r>
              <w:t>30 min</w:t>
            </w:r>
            <w:r>
              <w:rPr>
                <w:rFonts w:ascii="Arial" w:hAnsi="Arial"/>
                <w:b w:val="0"/>
                <w:sz w:val="19"/>
              </w:rPr>
            </w:r>
          </w:p>
        </w:tc>
        <w:tc>
          <w:tcPr>
            <w:tcW w:type="dxa" w:w="6840"/>
            <w:shd w:val="clear" w:color="auto" w:fill="FDE9D9"/>
          </w:tcPr>
          <w:p>
            <w:r>
              <w:t>Lunch break</w:t>
            </w:r>
            <w:r>
              <w:rPr>
                <w:rFonts w:ascii="Arial" w:hAnsi="Arial"/>
                <w:b w:val="0"/>
                <w:sz w:val="19"/>
              </w:rPr>
            </w:r>
          </w:p>
        </w:tc>
      </w:tr>
      <w:tr>
        <w:tc>
          <w:tcPr>
            <w:tcW w:type="dxa" w:w="1656"/>
          </w:tcPr>
          <w:p>
            <w:r>
              <w:t>13:00–14:30</w:t>
            </w:r>
            <w:r>
              <w:rPr>
                <w:rFonts w:ascii="Arial" w:hAnsi="Arial"/>
                <w:b w:val="0"/>
                <w:sz w:val="19"/>
              </w:rPr>
            </w:r>
          </w:p>
        </w:tc>
        <w:tc>
          <w:tcPr>
            <w:tcW w:type="dxa" w:w="1296"/>
          </w:tcPr>
          <w:p>
            <w:r>
              <w:t>90 min</w:t>
            </w:r>
            <w:r>
              <w:rPr>
                <w:rFonts w:ascii="Arial" w:hAnsi="Arial"/>
                <w:b w:val="0"/>
                <w:sz w:val="19"/>
              </w:rPr>
            </w:r>
          </w:p>
        </w:tc>
        <w:tc>
          <w:tcPr>
            <w:tcW w:type="dxa" w:w="6840"/>
          </w:tcPr>
          <w:p>
            <w:r>
              <w:t>Hands-on case studies: Activity 2: Netflix vs Blockbuster — Innovation as an Operating System; Activity 3: Positioning GenAI in the Innovation Loop — Where It Helps and Where It Lies</w:t>
            </w:r>
            <w:r>
              <w:rPr>
                <w:rFonts w:ascii="Arial" w:hAnsi="Arial"/>
                <w:b w:val="0"/>
                <w:sz w:val="19"/>
              </w:rPr>
            </w:r>
          </w:p>
        </w:tc>
      </w:tr>
      <w:tr>
        <w:tc>
          <w:tcPr>
            <w:tcW w:type="dxa" w:w="1656"/>
            <w:shd w:val="clear" w:color="auto" w:fill="FFF4E5"/>
          </w:tcPr>
          <w:p>
            <w:r>
              <w:t>14:30–15:30</w:t>
            </w:r>
            <w:r>
              <w:rPr>
                <w:rFonts w:ascii="Arial" w:hAnsi="Arial"/>
                <w:b w:val="0"/>
                <w:sz w:val="19"/>
              </w:rPr>
            </w:r>
          </w:p>
        </w:tc>
        <w:tc>
          <w:tcPr>
            <w:tcW w:type="dxa" w:w="1296"/>
            <w:shd w:val="clear" w:color="auto" w:fill="FFF4E5"/>
          </w:tcPr>
          <w:p>
            <w:r>
              <w:t>60 min</w:t>
            </w:r>
            <w:r>
              <w:rPr>
                <w:rFonts w:ascii="Arial" w:hAnsi="Arial"/>
                <w:b w:val="0"/>
                <w:sz w:val="19"/>
              </w:rPr>
            </w:r>
          </w:p>
        </w:tc>
        <w:tc>
          <w:tcPr>
            <w:tcW w:type="dxa" w:w="6840"/>
            <w:shd w:val="clear" w:color="auto" w:fill="FFF4E5"/>
          </w:tcPr>
          <w:p>
            <w:r>
              <w:t>Topic 2 — Problem Framing and Ideation: framing the design challenge; the Problem-Assumption Model; problem statement vs Point of View vs How Might We; the altitude test; empathy maps and persona mapping; ideation techniques; prototyping to think.</w:t>
            </w:r>
            <w:r>
              <w:rPr>
                <w:rFonts w:ascii="Arial" w:hAnsi="Arial"/>
                <w:b w:val="0"/>
                <w:sz w:val="19"/>
              </w:rPr>
            </w:r>
          </w:p>
        </w:tc>
      </w:tr>
      <w:tr>
        <w:tc>
          <w:tcPr>
            <w:tcW w:type="dxa" w:w="1656"/>
            <w:shd w:val="clear" w:color="auto" w:fill="E8F0FE"/>
          </w:tcPr>
          <w:p>
            <w:r>
              <w:t>15:30–17:15</w:t>
            </w:r>
            <w:r>
              <w:rPr>
                <w:rFonts w:ascii="Arial" w:hAnsi="Arial"/>
                <w:b/>
                <w:sz w:val="19"/>
              </w:rPr>
            </w:r>
          </w:p>
        </w:tc>
        <w:tc>
          <w:tcPr>
            <w:tcW w:type="dxa" w:w="1296"/>
            <w:shd w:val="clear" w:color="auto" w:fill="E8F0FE"/>
          </w:tcPr>
          <w:p>
            <w:r>
              <w:t>105 min</w:t>
            </w:r>
            <w:r>
              <w:rPr>
                <w:rFonts w:ascii="Arial" w:hAnsi="Arial"/>
                <w:b w:val="0"/>
                <w:sz w:val="19"/>
              </w:rPr>
            </w:r>
          </w:p>
        </w:tc>
        <w:tc>
          <w:tcPr>
            <w:tcW w:type="dxa" w:w="6840"/>
            <w:shd w:val="clear" w:color="auto" w:fill="E8F0FE"/>
          </w:tcPr>
          <w:p>
            <w:r>
              <w:t>Hands-on case studies: Activity 4: GE Adventure Series — Reframing the Problem Instead of Fixing the Machine; Activity 5: IDEO Shopping Cart — Volume, Then Judgement</w:t>
            </w:r>
            <w:r>
              <w:rPr>
                <w:rFonts w:ascii="Arial" w:hAnsi="Arial"/>
                <w:b/>
                <w:sz w:val="19"/>
              </w:rPr>
            </w:r>
          </w:p>
        </w:tc>
      </w:tr>
      <w:tr>
        <w:tc>
          <w:tcPr>
            <w:tcW w:type="dxa" w:w="1656"/>
          </w:tcPr>
          <w:p>
            <w:r>
              <w:t>17:15–17:30</w:t>
            </w:r>
            <w:r>
              <w:rPr>
                <w:rFonts w:ascii="Arial" w:hAnsi="Arial"/>
                <w:b w:val="0"/>
                <w:sz w:val="19"/>
              </w:rPr>
            </w:r>
          </w:p>
        </w:tc>
        <w:tc>
          <w:tcPr>
            <w:tcW w:type="dxa" w:w="1296"/>
          </w:tcPr>
          <w:p>
            <w:r>
              <w:t>15 min</w:t>
            </w:r>
            <w:r>
              <w:rPr>
                <w:rFonts w:ascii="Arial" w:hAnsi="Arial"/>
                <w:b w:val="0"/>
                <w:sz w:val="19"/>
              </w:rPr>
            </w:r>
          </w:p>
        </w:tc>
        <w:tc>
          <w:tcPr>
            <w:tcW w:type="dxa" w:w="6840"/>
          </w:tcPr>
          <w:p>
            <w:r>
              <w:t>Day 1 recap, Q&amp;A and close</w:t>
            </w:r>
            <w:r>
              <w:rPr>
                <w:rFonts w:ascii="Arial" w:hAnsi="Arial"/>
                <w:b w:val="0"/>
                <w:sz w:val="19"/>
              </w:rPr>
            </w:r>
          </w:p>
        </w:tc>
      </w:tr>
    </w:tbl>
    <w:p>
      <w:r>
        <w:rPr>
          <w:i/>
          <w:color w:val="555B66"/>
          <w:sz w:val="19"/>
        </w:rPr>
        <w:t>Total instructional time: 450 minutes (7.5 hours).</w:t>
      </w:r>
    </w:p>
    <w:p>
      <w:pPr>
        <w:pStyle w:val="Heading2"/>
      </w:pPr>
      <w:r>
        <w:t>Day 2 — Agile Delivery and Scaling Innovation</w:t>
      </w:r>
    </w:p>
    <w:tbl>
      <w:tblPr>
        <w:tblStyle w:val="TableGrid"/>
        <w:tblW w:type="auto" w:w="0"/>
        <w:jc w:val="center"/>
        <w:tblLook w:firstColumn="1" w:firstRow="1" w:lastColumn="0" w:lastRow="0" w:noHBand="0" w:noVBand="1" w:val="04A0"/>
      </w:tblPr>
      <w:tblGrid>
        <w:gridCol w:w="2880"/>
        <w:gridCol w:w="2880"/>
        <w:gridCol w:w="2880"/>
      </w:tblGrid>
      <w:tr>
        <w:tc>
          <w:tcPr>
            <w:tcW w:type="dxa" w:w="1656"/>
            <w:shd w:val="clear" w:color="auto" w:fill="1F6FEB"/>
          </w:tcPr>
          <w:p>
            <w:r/>
            <w:r>
              <w:rPr>
                <w:rFonts w:ascii="Arial" w:hAnsi="Arial"/>
                <w:b/>
                <w:color w:val="FFFFFF"/>
                <w:sz w:val="20"/>
              </w:rPr>
              <w:t>Time</w:t>
            </w:r>
          </w:p>
        </w:tc>
        <w:tc>
          <w:tcPr>
            <w:tcW w:type="dxa" w:w="1296"/>
            <w:shd w:val="clear" w:color="auto" w:fill="1F6FEB"/>
          </w:tcPr>
          <w:p>
            <w:r/>
            <w:r>
              <w:rPr>
                <w:rFonts w:ascii="Arial" w:hAnsi="Arial"/>
                <w:b/>
                <w:color w:val="FFFFFF"/>
                <w:sz w:val="20"/>
              </w:rPr>
              <w:t>Duration</w:t>
            </w:r>
          </w:p>
        </w:tc>
        <w:tc>
          <w:tcPr>
            <w:tcW w:type="dxa" w:w="6840"/>
            <w:shd w:val="clear" w:color="auto" w:fill="1F6FEB"/>
          </w:tcPr>
          <w:p>
            <w:r/>
            <w:r>
              <w:rPr>
                <w:rFonts w:ascii="Arial" w:hAnsi="Arial"/>
                <w:b/>
                <w:color w:val="FFFFFF"/>
                <w:sz w:val="20"/>
              </w:rPr>
              <w:t>Topic / Activity</w:t>
            </w:r>
          </w:p>
        </w:tc>
      </w:tr>
      <w:tr>
        <w:tc>
          <w:tcPr>
            <w:tcW w:type="dxa" w:w="1656"/>
          </w:tcPr>
          <w:p>
            <w:r>
              <w:t>9:30–9:45</w:t>
            </w:r>
            <w:r>
              <w:rPr>
                <w:rFonts w:ascii="Arial" w:hAnsi="Arial"/>
                <w:b w:val="0"/>
                <w:sz w:val="19"/>
              </w:rPr>
            </w:r>
          </w:p>
        </w:tc>
        <w:tc>
          <w:tcPr>
            <w:tcW w:type="dxa" w:w="1296"/>
          </w:tcPr>
          <w:p>
            <w:r>
              <w:t>15 min</w:t>
            </w:r>
            <w:r>
              <w:rPr>
                <w:rFonts w:ascii="Arial" w:hAnsi="Arial"/>
                <w:b w:val="0"/>
                <w:sz w:val="19"/>
              </w:rPr>
            </w:r>
          </w:p>
        </w:tc>
        <w:tc>
          <w:tcPr>
            <w:tcW w:type="dxa" w:w="6840"/>
          </w:tcPr>
          <w:p>
            <w:r>
              <w:t>Day 1 recap and orientation to Day 2.</w:t>
            </w:r>
            <w:r>
              <w:rPr>
                <w:rFonts w:ascii="Arial" w:hAnsi="Arial"/>
                <w:b w:val="0"/>
                <w:sz w:val="19"/>
              </w:rPr>
            </w:r>
          </w:p>
        </w:tc>
      </w:tr>
      <w:tr>
        <w:tc>
          <w:tcPr>
            <w:tcW w:type="dxa" w:w="1656"/>
            <w:shd w:val="clear" w:color="auto" w:fill="FFF4E5"/>
          </w:tcPr>
          <w:p>
            <w:r>
              <w:t>9:45–10:45</w:t>
            </w:r>
            <w:r>
              <w:rPr>
                <w:rFonts w:ascii="Arial" w:hAnsi="Arial"/>
                <w:b w:val="0"/>
                <w:sz w:val="19"/>
              </w:rPr>
            </w:r>
          </w:p>
        </w:tc>
        <w:tc>
          <w:tcPr>
            <w:tcW w:type="dxa" w:w="1296"/>
            <w:shd w:val="clear" w:color="auto" w:fill="FFF4E5"/>
          </w:tcPr>
          <w:p>
            <w:r>
              <w:t>60 min</w:t>
            </w:r>
            <w:r>
              <w:rPr>
                <w:rFonts w:ascii="Arial" w:hAnsi="Arial"/>
                <w:b w:val="0"/>
                <w:sz w:val="19"/>
              </w:rPr>
            </w:r>
          </w:p>
        </w:tc>
        <w:tc>
          <w:tcPr>
            <w:tcW w:type="dxa" w:w="6840"/>
            <w:shd w:val="clear" w:color="auto" w:fill="FFF4E5"/>
          </w:tcPr>
          <w:p>
            <w:r>
              <w:t>Topic 2 concluded — prototyping with AI-driven tools and defining a falsifiable test plan. Hands-on case study: Activity 6: Rapid Prototyping with AI — From Concept to Testable Artefact in One Hour</w:t>
            </w:r>
            <w:r>
              <w:rPr>
                <w:rFonts w:ascii="Arial" w:hAnsi="Arial"/>
                <w:b w:val="0"/>
                <w:sz w:val="19"/>
              </w:rPr>
            </w:r>
          </w:p>
        </w:tc>
      </w:tr>
      <w:tr>
        <w:tc>
          <w:tcPr>
            <w:tcW w:type="dxa" w:w="1656"/>
            <w:shd w:val="clear" w:color="auto" w:fill="E8F0FE"/>
          </w:tcPr>
          <w:p>
            <w:r>
              <w:t>10:45–11:45</w:t>
            </w:r>
            <w:r>
              <w:rPr>
                <w:rFonts w:ascii="Arial" w:hAnsi="Arial"/>
                <w:b/>
                <w:sz w:val="19"/>
              </w:rPr>
            </w:r>
          </w:p>
        </w:tc>
        <w:tc>
          <w:tcPr>
            <w:tcW w:type="dxa" w:w="1296"/>
            <w:shd w:val="clear" w:color="auto" w:fill="E8F0FE"/>
          </w:tcPr>
          <w:p>
            <w:r>
              <w:t>60 min</w:t>
            </w:r>
            <w:r>
              <w:rPr>
                <w:rFonts w:ascii="Arial" w:hAnsi="Arial"/>
                <w:b w:val="0"/>
                <w:sz w:val="19"/>
              </w:rPr>
            </w:r>
          </w:p>
        </w:tc>
        <w:tc>
          <w:tcPr>
            <w:tcW w:type="dxa" w:w="6840"/>
            <w:shd w:val="clear" w:color="auto" w:fill="E8F0FE"/>
          </w:tcPr>
          <w:p>
            <w:r>
              <w:t>Topic 3 — Agile Development and AI for Rapid Solution Delivery: being agile vs doing agile; the Scrum loop and the three accountabilities; dual-track agile; the mini-waterfall anti-pattern; Epic → Feature → Story → Task.</w:t>
            </w:r>
            <w:r>
              <w:rPr>
                <w:rFonts w:ascii="Arial" w:hAnsi="Arial"/>
                <w:b/>
                <w:sz w:val="19"/>
              </w:rPr>
            </w:r>
          </w:p>
        </w:tc>
      </w:tr>
      <w:tr>
        <w:tc>
          <w:tcPr>
            <w:tcW w:type="dxa" w:w="1656"/>
          </w:tcPr>
          <w:p>
            <w:r>
              <w:t>11:45–12:30</w:t>
            </w:r>
            <w:r>
              <w:rPr>
                <w:rFonts w:ascii="Arial" w:hAnsi="Arial"/>
                <w:b w:val="0"/>
                <w:sz w:val="19"/>
              </w:rPr>
            </w:r>
          </w:p>
        </w:tc>
        <w:tc>
          <w:tcPr>
            <w:tcW w:type="dxa" w:w="1296"/>
          </w:tcPr>
          <w:p>
            <w:r>
              <w:t>45 min</w:t>
            </w:r>
            <w:r>
              <w:rPr>
                <w:rFonts w:ascii="Arial" w:hAnsi="Arial"/>
                <w:b w:val="0"/>
                <w:sz w:val="19"/>
              </w:rPr>
            </w:r>
          </w:p>
        </w:tc>
        <w:tc>
          <w:tcPr>
            <w:tcW w:type="dxa" w:w="6840"/>
          </w:tcPr>
          <w:p>
            <w:r>
              <w:t>Hands-on case study: Activity 7: Spotify — Reading a Scaling Model Honestly</w:t>
            </w:r>
            <w:r>
              <w:rPr>
                <w:rFonts w:ascii="Arial" w:hAnsi="Arial"/>
                <w:b w:val="0"/>
                <w:sz w:val="19"/>
              </w:rPr>
            </w:r>
          </w:p>
        </w:tc>
      </w:tr>
      <w:tr>
        <w:tc>
          <w:tcPr>
            <w:tcW w:type="dxa" w:w="1656"/>
            <w:shd w:val="clear" w:color="auto" w:fill="FDE9D9"/>
          </w:tcPr>
          <w:p>
            <w:r>
              <w:t>12:30–13:00</w:t>
            </w:r>
            <w:r>
              <w:rPr>
                <w:rFonts w:ascii="Arial" w:hAnsi="Arial"/>
                <w:b w:val="0"/>
                <w:sz w:val="19"/>
              </w:rPr>
            </w:r>
          </w:p>
        </w:tc>
        <w:tc>
          <w:tcPr>
            <w:tcW w:type="dxa" w:w="1296"/>
            <w:shd w:val="clear" w:color="auto" w:fill="FDE9D9"/>
          </w:tcPr>
          <w:p>
            <w:r>
              <w:t>30 min</w:t>
            </w:r>
            <w:r>
              <w:rPr>
                <w:rFonts w:ascii="Arial" w:hAnsi="Arial"/>
                <w:b w:val="0"/>
                <w:sz w:val="19"/>
              </w:rPr>
            </w:r>
          </w:p>
        </w:tc>
        <w:tc>
          <w:tcPr>
            <w:tcW w:type="dxa" w:w="6840"/>
            <w:shd w:val="clear" w:color="auto" w:fill="FDE9D9"/>
          </w:tcPr>
          <w:p>
            <w:r>
              <w:t>Lunch break</w:t>
            </w:r>
            <w:r>
              <w:rPr>
                <w:rFonts w:ascii="Arial" w:hAnsi="Arial"/>
                <w:b w:val="0"/>
                <w:sz w:val="19"/>
              </w:rPr>
            </w:r>
          </w:p>
        </w:tc>
      </w:tr>
      <w:tr>
        <w:tc>
          <w:tcPr>
            <w:tcW w:type="dxa" w:w="1656"/>
          </w:tcPr>
          <w:p>
            <w:r>
              <w:t>13:00–14:30</w:t>
            </w:r>
            <w:r>
              <w:rPr>
                <w:rFonts w:ascii="Arial" w:hAnsi="Arial"/>
                <w:b w:val="0"/>
                <w:sz w:val="19"/>
              </w:rPr>
            </w:r>
          </w:p>
        </w:tc>
        <w:tc>
          <w:tcPr>
            <w:tcW w:type="dxa" w:w="1296"/>
          </w:tcPr>
          <w:p>
            <w:r>
              <w:t>90 min</w:t>
            </w:r>
            <w:r>
              <w:rPr>
                <w:rFonts w:ascii="Arial" w:hAnsi="Arial"/>
                <w:b w:val="0"/>
                <w:sz w:val="19"/>
              </w:rPr>
            </w:r>
          </w:p>
        </w:tc>
        <w:tc>
          <w:tcPr>
            <w:tcW w:type="dxa" w:w="6840"/>
          </w:tcPr>
          <w:p>
            <w:r>
              <w:t>Topic 3 continued — user stories and the 3 C's, the three-cake release model, story points and Planning Poker, GenAI across the sprint. Hands-on case studies: Activity 8: From Hills to Backlog — Converting Ideas into Stories with GenAI; Activity 9: Running Dual-Track Agile — A Sprint Simulation with AI Assistance</w:t>
            </w:r>
            <w:r>
              <w:rPr>
                <w:rFonts w:ascii="Arial" w:hAnsi="Arial"/>
                <w:b w:val="0"/>
                <w:sz w:val="19"/>
              </w:rPr>
            </w:r>
          </w:p>
        </w:tc>
      </w:tr>
      <w:tr>
        <w:tc>
          <w:tcPr>
            <w:tcW w:type="dxa" w:w="1656"/>
            <w:shd w:val="clear" w:color="auto" w:fill="FFF4E5"/>
          </w:tcPr>
          <w:p>
            <w:r>
              <w:t>14:30–15:30</w:t>
            </w:r>
            <w:r>
              <w:rPr>
                <w:rFonts w:ascii="Arial" w:hAnsi="Arial"/>
                <w:b w:val="0"/>
                <w:sz w:val="19"/>
              </w:rPr>
            </w:r>
          </w:p>
        </w:tc>
        <w:tc>
          <w:tcPr>
            <w:tcW w:type="dxa" w:w="1296"/>
            <w:shd w:val="clear" w:color="auto" w:fill="FFF4E5"/>
          </w:tcPr>
          <w:p>
            <w:r>
              <w:t>60 min</w:t>
            </w:r>
            <w:r>
              <w:rPr>
                <w:rFonts w:ascii="Arial" w:hAnsi="Arial"/>
                <w:b w:val="0"/>
                <w:sz w:val="19"/>
              </w:rPr>
            </w:r>
          </w:p>
        </w:tc>
        <w:tc>
          <w:tcPr>
            <w:tcW w:type="dxa" w:w="6840"/>
            <w:shd w:val="clear" w:color="auto" w:fill="FFF4E5"/>
          </w:tcPr>
          <w:p>
            <w:r>
              <w:t>Topic 4 — Scaling and Sustaining Innovations: the three levers that scale innovation; culture and the four principles; stakeholder buy-in; resource management with AI; sensemaking; systems thinking and feedback loops; innovation metrics and KPIs.</w:t>
            </w:r>
            <w:r>
              <w:rPr>
                <w:rFonts w:ascii="Arial" w:hAnsi="Arial"/>
                <w:b w:val="0"/>
                <w:sz w:val="19"/>
              </w:rPr>
            </w:r>
          </w:p>
        </w:tc>
      </w:tr>
      <w:tr>
        <w:tc>
          <w:tcPr>
            <w:tcW w:type="dxa" w:w="1656"/>
            <w:shd w:val="clear" w:color="auto" w:fill="E8F0FE"/>
          </w:tcPr>
          <w:p>
            <w:r>
              <w:t>15:30–17:15</w:t>
            </w:r>
            <w:r>
              <w:rPr>
                <w:rFonts w:ascii="Arial" w:hAnsi="Arial"/>
                <w:b/>
                <w:sz w:val="19"/>
              </w:rPr>
            </w:r>
          </w:p>
        </w:tc>
        <w:tc>
          <w:tcPr>
            <w:tcW w:type="dxa" w:w="1296"/>
            <w:shd w:val="clear" w:color="auto" w:fill="E8F0FE"/>
          </w:tcPr>
          <w:p>
            <w:r>
              <w:t>105 min</w:t>
            </w:r>
            <w:r>
              <w:rPr>
                <w:rFonts w:ascii="Arial" w:hAnsi="Arial"/>
                <w:b w:val="0"/>
                <w:sz w:val="19"/>
              </w:rPr>
            </w:r>
          </w:p>
        </w:tc>
        <w:tc>
          <w:tcPr>
            <w:tcW w:type="dxa" w:w="6840"/>
            <w:shd w:val="clear" w:color="auto" w:fill="E8F0FE"/>
          </w:tcPr>
          <w:p>
            <w:r>
              <w:t>Hands-on case studies: Activity 10: DBS Bank — Scaling Innovation Across 25,000 People; Activity 11: Boeing 737 MAX — Systems Thinking and the Cost of Local Optimisation; Activity 12: Innovation Metrics — Designing KPIs That Change a Decision</w:t>
            </w:r>
            <w:r>
              <w:rPr>
                <w:rFonts w:ascii="Arial" w:hAnsi="Arial"/>
                <w:b/>
                <w:sz w:val="19"/>
              </w:rPr>
            </w:r>
          </w:p>
        </w:tc>
      </w:tr>
      <w:tr>
        <w:tc>
          <w:tcPr>
            <w:tcW w:type="dxa" w:w="1656"/>
          </w:tcPr>
          <w:p>
            <w:r>
              <w:t>17:15–17:30</w:t>
            </w:r>
            <w:r>
              <w:rPr>
                <w:rFonts w:ascii="Arial" w:hAnsi="Arial"/>
                <w:b w:val="0"/>
                <w:sz w:val="19"/>
              </w:rPr>
            </w:r>
          </w:p>
        </w:tc>
        <w:tc>
          <w:tcPr>
            <w:tcW w:type="dxa" w:w="1296"/>
          </w:tcPr>
          <w:p>
            <w:r>
              <w:t>15 min</w:t>
            </w:r>
            <w:r>
              <w:rPr>
                <w:rFonts w:ascii="Arial" w:hAnsi="Arial"/>
                <w:b w:val="0"/>
                <w:sz w:val="19"/>
              </w:rPr>
            </w:r>
          </w:p>
        </w:tc>
        <w:tc>
          <w:tcPr>
            <w:tcW w:type="dxa" w:w="6840"/>
          </w:tcPr>
          <w:p>
            <w:r>
              <w:t>Course revision, Q&amp;A and close</w:t>
            </w:r>
            <w:r>
              <w:rPr>
                <w:rFonts w:ascii="Arial" w:hAnsi="Arial"/>
                <w:b w:val="0"/>
                <w:sz w:val="19"/>
              </w:rPr>
            </w:r>
          </w:p>
        </w:tc>
      </w:tr>
    </w:tbl>
    <w:p>
      <w:r>
        <w:rPr>
          <w:i/>
          <w:color w:val="555B66"/>
          <w:sz w:val="19"/>
        </w:rPr>
        <w:t>Total instructional time: 450 minutes (7.5 hours).</w:t>
      </w:r>
    </w:p>
    <w:p/>
    <w:p>
      <w:pPr>
        <w:pStyle w:val="Heading1"/>
      </w:pPr>
      <w:r>
        <w:t>Activity Reference (aligned to topics and learning outcomes)</w:t>
      </w:r>
    </w:p>
    <w:tbl>
      <w:tblPr>
        <w:tblStyle w:val="TableGrid"/>
        <w:tblW w:type="auto" w:w="0"/>
        <w:tblLook w:firstColumn="1" w:firstRow="1" w:lastColumn="0" w:lastRow="0" w:noHBand="0" w:noVBand="1" w:val="04A0"/>
      </w:tblPr>
      <w:tblGrid>
        <w:gridCol w:w="2160"/>
        <w:gridCol w:w="2160"/>
        <w:gridCol w:w="2160"/>
        <w:gridCol w:w="2160"/>
      </w:tblGrid>
      <w:tr>
        <w:tc>
          <w:tcPr>
            <w:tcW w:type="dxa" w:w="4320"/>
            <w:shd w:val="clear" w:color="auto" w:fill="1F6FEB"/>
          </w:tcPr>
          <w:p>
            <w:r/>
            <w:r>
              <w:rPr>
                <w:rFonts w:ascii="Arial" w:hAnsi="Arial"/>
                <w:b/>
                <w:color w:val="FFFFFF"/>
                <w:sz w:val="20"/>
              </w:rPr>
              <w:t>Topic</w:t>
            </w:r>
          </w:p>
        </w:tc>
        <w:tc>
          <w:tcPr>
            <w:tcW w:type="dxa" w:w="1152"/>
            <w:shd w:val="clear" w:color="auto" w:fill="1F6FEB"/>
          </w:tcPr>
          <w:p>
            <w:r/>
            <w:r>
              <w:rPr>
                <w:rFonts w:ascii="Arial" w:hAnsi="Arial"/>
                <w:b/>
                <w:color w:val="FFFFFF"/>
                <w:sz w:val="20"/>
              </w:rPr>
              <w:t>Weighting</w:t>
            </w:r>
          </w:p>
        </w:tc>
        <w:tc>
          <w:tcPr>
            <w:tcW w:type="dxa" w:w="2736"/>
            <w:shd w:val="clear" w:color="auto" w:fill="1F6FEB"/>
          </w:tcPr>
          <w:p>
            <w:r/>
            <w:r>
              <w:rPr>
                <w:rFonts w:ascii="Arial" w:hAnsi="Arial"/>
                <w:b/>
                <w:color w:val="FFFFFF"/>
                <w:sz w:val="20"/>
              </w:rPr>
              <w:t>Activities</w:t>
            </w:r>
          </w:p>
        </w:tc>
        <w:tc>
          <w:tcPr>
            <w:tcW w:type="dxa" w:w="2016"/>
            <w:shd w:val="clear" w:color="auto" w:fill="1F6FEB"/>
          </w:tcPr>
          <w:p>
            <w:r/>
            <w:r>
              <w:rPr>
                <w:rFonts w:ascii="Arial" w:hAnsi="Arial"/>
                <w:b/>
                <w:color w:val="FFFFFF"/>
                <w:sz w:val="20"/>
              </w:rPr>
              <w:t>Ed-tool</w:t>
            </w:r>
          </w:p>
        </w:tc>
      </w:tr>
      <w:tr>
        <w:tc>
          <w:tcPr>
            <w:tcW w:type="dxa" w:w="4320"/>
            <w:shd w:val="clear" w:color="auto" w:fill="E8F0FE"/>
          </w:tcPr>
          <w:p>
            <w:r/>
            <w:r>
              <w:rPr>
                <w:rFonts w:ascii="Arial" w:hAnsi="Arial"/>
                <w:b/>
                <w:sz w:val="19"/>
              </w:rPr>
              <w:t>Topic 01: Foundations of Design Thinking, Agile, and Generative AI for Problem-Solving</w:t>
            </w:r>
          </w:p>
        </w:tc>
        <w:tc>
          <w:tcPr>
            <w:tcW w:type="dxa" w:w="1152"/>
            <w:shd w:val="clear" w:color="auto" w:fill="E8F0FE"/>
          </w:tcPr>
          <w:p>
            <w:r/>
            <w:r>
              <w:rPr>
                <w:rFonts w:ascii="Arial" w:hAnsi="Arial"/>
                <w:b w:val="0"/>
                <w:sz w:val="19"/>
              </w:rPr>
              <w:t>25%</w:t>
            </w:r>
          </w:p>
        </w:tc>
        <w:tc>
          <w:tcPr>
            <w:tcW w:type="dxa" w:w="2736"/>
          </w:tcPr>
          <w:p>
            <w:r/>
            <w:r>
              <w:rPr>
                <w:rFonts w:ascii="Arial" w:hAnsi="Arial"/>
                <w:b w:val="0"/>
                <w:sz w:val="19"/>
              </w:rPr>
              <w:t>Activity 1, Activity 2, Activity 3</w:t>
            </w:r>
          </w:p>
        </w:tc>
        <w:tc>
          <w:tcPr>
            <w:tcW w:type="dxa" w:w="2016"/>
          </w:tcPr>
          <w:p>
            <w:r/>
            <w:r>
              <w:rPr>
                <w:rFonts w:ascii="Arial" w:hAnsi="Arial"/>
                <w:b w:val="0"/>
                <w:sz w:val="19"/>
              </w:rPr>
              <w:t>Padlet</w:t>
            </w:r>
          </w:p>
        </w:tc>
      </w:tr>
      <w:tr>
        <w:tc>
          <w:tcPr>
            <w:tcW w:type="dxa" w:w="4320"/>
            <w:shd w:val="clear" w:color="auto" w:fill="E8F0FE"/>
          </w:tcPr>
          <w:p>
            <w:r/>
            <w:r>
              <w:rPr>
                <w:rFonts w:ascii="Arial" w:hAnsi="Arial"/>
                <w:b/>
                <w:sz w:val="19"/>
              </w:rPr>
              <w:t>Topic 02: Problem Framing and Ideation: Leveraging Design Thinking and Generative AI</w:t>
            </w:r>
          </w:p>
        </w:tc>
        <w:tc>
          <w:tcPr>
            <w:tcW w:type="dxa" w:w="1152"/>
            <w:shd w:val="clear" w:color="auto" w:fill="E8F0FE"/>
          </w:tcPr>
          <w:p>
            <w:r/>
            <w:r>
              <w:rPr>
                <w:rFonts w:ascii="Arial" w:hAnsi="Arial"/>
                <w:b w:val="0"/>
                <w:sz w:val="19"/>
              </w:rPr>
              <w:t>25%</w:t>
            </w:r>
          </w:p>
        </w:tc>
        <w:tc>
          <w:tcPr>
            <w:tcW w:type="dxa" w:w="2736"/>
          </w:tcPr>
          <w:p>
            <w:r/>
            <w:r>
              <w:rPr>
                <w:rFonts w:ascii="Arial" w:hAnsi="Arial"/>
                <w:b w:val="0"/>
                <w:sz w:val="19"/>
              </w:rPr>
              <w:t>Activity 4, Activity 5, Activity 6</w:t>
            </w:r>
          </w:p>
        </w:tc>
        <w:tc>
          <w:tcPr>
            <w:tcW w:type="dxa" w:w="2016"/>
          </w:tcPr>
          <w:p>
            <w:r/>
            <w:r>
              <w:rPr>
                <w:rFonts w:ascii="Arial" w:hAnsi="Arial"/>
                <w:b w:val="0"/>
                <w:sz w:val="19"/>
              </w:rPr>
              <w:t>Design Thinking Studio</w:t>
            </w:r>
          </w:p>
        </w:tc>
      </w:tr>
      <w:tr>
        <w:tc>
          <w:tcPr>
            <w:tcW w:type="dxa" w:w="4320"/>
            <w:shd w:val="clear" w:color="auto" w:fill="E8F0FE"/>
          </w:tcPr>
          <w:p>
            <w:r/>
            <w:r>
              <w:rPr>
                <w:rFonts w:ascii="Arial" w:hAnsi="Arial"/>
                <w:b/>
                <w:sz w:val="19"/>
              </w:rPr>
              <w:t>Topic 03: Agile Development and AI for Rapid Solution Delivery</w:t>
            </w:r>
          </w:p>
        </w:tc>
        <w:tc>
          <w:tcPr>
            <w:tcW w:type="dxa" w:w="1152"/>
            <w:shd w:val="clear" w:color="auto" w:fill="E8F0FE"/>
          </w:tcPr>
          <w:p>
            <w:r/>
            <w:r>
              <w:rPr>
                <w:rFonts w:ascii="Arial" w:hAnsi="Arial"/>
                <w:b w:val="0"/>
                <w:sz w:val="19"/>
              </w:rPr>
              <w:t>25%</w:t>
            </w:r>
          </w:p>
        </w:tc>
        <w:tc>
          <w:tcPr>
            <w:tcW w:type="dxa" w:w="2736"/>
          </w:tcPr>
          <w:p>
            <w:r/>
            <w:r>
              <w:rPr>
                <w:rFonts w:ascii="Arial" w:hAnsi="Arial"/>
                <w:b w:val="0"/>
                <w:sz w:val="19"/>
              </w:rPr>
              <w:t>Activity 7, Activity 8, Activity 9</w:t>
            </w:r>
          </w:p>
        </w:tc>
        <w:tc>
          <w:tcPr>
            <w:tcW w:type="dxa" w:w="2016"/>
          </w:tcPr>
          <w:p>
            <w:r/>
            <w:r>
              <w:rPr>
                <w:rFonts w:ascii="Arial" w:hAnsi="Arial"/>
                <w:b w:val="0"/>
                <w:sz w:val="19"/>
              </w:rPr>
              <w:t>Design Thinking Studio / Padlet</w:t>
            </w:r>
          </w:p>
        </w:tc>
      </w:tr>
      <w:tr>
        <w:tc>
          <w:tcPr>
            <w:tcW w:type="dxa" w:w="4320"/>
            <w:shd w:val="clear" w:color="auto" w:fill="E8F0FE"/>
          </w:tcPr>
          <w:p>
            <w:r/>
            <w:r>
              <w:rPr>
                <w:rFonts w:ascii="Arial" w:hAnsi="Arial"/>
                <w:b/>
                <w:sz w:val="19"/>
              </w:rPr>
              <w:t>Topic 04: Scaling and Sustaining Innovations with Agile Design Thinking and Generative AI</w:t>
            </w:r>
          </w:p>
        </w:tc>
        <w:tc>
          <w:tcPr>
            <w:tcW w:type="dxa" w:w="1152"/>
            <w:shd w:val="clear" w:color="auto" w:fill="E8F0FE"/>
          </w:tcPr>
          <w:p>
            <w:r/>
            <w:r>
              <w:rPr>
                <w:rFonts w:ascii="Arial" w:hAnsi="Arial"/>
                <w:b w:val="0"/>
                <w:sz w:val="19"/>
              </w:rPr>
              <w:t>25%</w:t>
            </w:r>
          </w:p>
        </w:tc>
        <w:tc>
          <w:tcPr>
            <w:tcW w:type="dxa" w:w="2736"/>
          </w:tcPr>
          <w:p>
            <w:r/>
            <w:r>
              <w:rPr>
                <w:rFonts w:ascii="Arial" w:hAnsi="Arial"/>
                <w:b w:val="0"/>
                <w:sz w:val="19"/>
              </w:rPr>
              <w:t>Activity 10, Activity 11, Activity 12</w:t>
            </w:r>
          </w:p>
        </w:tc>
        <w:tc>
          <w:tcPr>
            <w:tcW w:type="dxa" w:w="2016"/>
          </w:tcPr>
          <w:p>
            <w:r/>
            <w:r>
              <w:rPr>
                <w:rFonts w:ascii="Arial" w:hAnsi="Arial"/>
                <w:b w:val="0"/>
                <w:sz w:val="19"/>
              </w:rPr>
              <w:t>Design Thinking Studio / Padlet</w:t>
            </w:r>
          </w:p>
        </w:tc>
      </w:tr>
    </w:tbl>
    <w:p>
      <w:pPr>
        <w:pStyle w:val="Heading1"/>
      </w:pPr>
      <w:r>
        <w:t>Detailed Activity Schedule</w:t>
      </w:r>
    </w:p>
    <w:tbl>
      <w:tblPr>
        <w:tblStyle w:val="TableGrid"/>
        <w:tblW w:type="auto" w:w="0"/>
        <w:tblLook w:firstColumn="1" w:firstRow="1" w:lastColumn="0" w:lastRow="0" w:noHBand="0" w:noVBand="1" w:val="04A0"/>
      </w:tblPr>
      <w:tblGrid>
        <w:gridCol w:w="2160"/>
        <w:gridCol w:w="2160"/>
        <w:gridCol w:w="2160"/>
        <w:gridCol w:w="2160"/>
      </w:tblGrid>
      <w:tr>
        <w:tc>
          <w:tcPr>
            <w:tcW w:type="dxa" w:w="576"/>
            <w:shd w:val="clear" w:color="auto" w:fill="1F6FEB"/>
          </w:tcPr>
          <w:p>
            <w:r/>
            <w:r>
              <w:rPr>
                <w:rFonts w:ascii="Arial" w:hAnsi="Arial"/>
                <w:b/>
                <w:color w:val="FFFFFF"/>
                <w:sz w:val="20"/>
              </w:rPr>
              <w:t>#</w:t>
            </w:r>
          </w:p>
        </w:tc>
        <w:tc>
          <w:tcPr>
            <w:tcW w:type="dxa" w:w="4176"/>
            <w:shd w:val="clear" w:color="auto" w:fill="1F6FEB"/>
          </w:tcPr>
          <w:p>
            <w:r/>
            <w:r>
              <w:rPr>
                <w:rFonts w:ascii="Arial" w:hAnsi="Arial"/>
                <w:b/>
                <w:color w:val="FFFFFF"/>
                <w:sz w:val="20"/>
              </w:rPr>
              <w:t>Activity</w:t>
            </w:r>
          </w:p>
        </w:tc>
        <w:tc>
          <w:tcPr>
            <w:tcW w:type="dxa" w:w="1152"/>
            <w:shd w:val="clear" w:color="auto" w:fill="1F6FEB"/>
          </w:tcPr>
          <w:p>
            <w:r/>
            <w:r>
              <w:rPr>
                <w:rFonts w:ascii="Arial" w:hAnsi="Arial"/>
                <w:b/>
                <w:color w:val="FFFFFF"/>
                <w:sz w:val="20"/>
              </w:rPr>
              <w:t>Duration</w:t>
            </w:r>
          </w:p>
        </w:tc>
        <w:tc>
          <w:tcPr>
            <w:tcW w:type="dxa" w:w="4320"/>
            <w:shd w:val="clear" w:color="auto" w:fill="1F6FEB"/>
          </w:tcPr>
          <w:p>
            <w:r/>
            <w:r>
              <w:rPr>
                <w:rFonts w:ascii="Arial" w:hAnsi="Arial"/>
                <w:b/>
                <w:color w:val="FFFFFF"/>
                <w:sz w:val="20"/>
              </w:rPr>
              <w:t>Real-world case</w:t>
            </w:r>
          </w:p>
        </w:tc>
      </w:tr>
      <w:tr>
        <w:tc>
          <w:tcPr>
            <w:tcW w:type="dxa" w:w="576"/>
            <w:shd w:val="clear" w:color="auto" w:fill="E8F0FE"/>
          </w:tcPr>
          <w:p>
            <w:r/>
            <w:r>
              <w:rPr>
                <w:rFonts w:ascii="Arial" w:hAnsi="Arial"/>
                <w:b/>
                <w:sz w:val="19"/>
              </w:rPr>
              <w:t>1</w:t>
            </w:r>
          </w:p>
        </w:tc>
        <w:tc>
          <w:tcPr>
            <w:tcW w:type="dxa" w:w="4176"/>
          </w:tcPr>
          <w:p>
            <w:r/>
            <w:r>
              <w:rPr>
                <w:rFonts w:ascii="Arial" w:hAnsi="Arial"/>
                <w:b w:val="0"/>
                <w:sz w:val="19"/>
              </w:rPr>
              <w:t>Airbnb — Diagnosing Why a Method Alone Does Not Save a Business</w:t>
            </w:r>
          </w:p>
        </w:tc>
        <w:tc>
          <w:tcPr>
            <w:tcW w:type="dxa" w:w="1152"/>
          </w:tcPr>
          <w:p>
            <w:r/>
            <w:r>
              <w:rPr>
                <w:rFonts w:ascii="Arial" w:hAnsi="Arial"/>
                <w:b w:val="0"/>
                <w:sz w:val="19"/>
              </w:rPr>
              <w:t>45 min</w:t>
            </w:r>
          </w:p>
        </w:tc>
        <w:tc>
          <w:tcPr>
            <w:tcW w:type="dxa" w:w="4320"/>
          </w:tcPr>
          <w:p>
            <w:r/>
            <w:r>
              <w:rPr>
                <w:rFonts w:ascii="Arial" w:hAnsi="Arial"/>
                <w:b w:val="0"/>
                <w:sz w:val="18"/>
              </w:rPr>
              <w:t>Airbnb, 2009…</w:t>
            </w:r>
          </w:p>
        </w:tc>
      </w:tr>
      <w:tr>
        <w:tc>
          <w:tcPr>
            <w:tcW w:type="dxa" w:w="576"/>
            <w:shd w:val="clear" w:color="auto" w:fill="E8F0FE"/>
          </w:tcPr>
          <w:p>
            <w:r/>
            <w:r>
              <w:rPr>
                <w:rFonts w:ascii="Arial" w:hAnsi="Arial"/>
                <w:b/>
                <w:sz w:val="19"/>
              </w:rPr>
              <w:t>2</w:t>
            </w:r>
          </w:p>
        </w:tc>
        <w:tc>
          <w:tcPr>
            <w:tcW w:type="dxa" w:w="4176"/>
          </w:tcPr>
          <w:p>
            <w:r/>
            <w:r>
              <w:rPr>
                <w:rFonts w:ascii="Arial" w:hAnsi="Arial"/>
                <w:b w:val="0"/>
                <w:sz w:val="19"/>
              </w:rPr>
              <w:t>Netflix vs Blockbuster — Innovation as an Operating System</w:t>
            </w:r>
          </w:p>
        </w:tc>
        <w:tc>
          <w:tcPr>
            <w:tcW w:type="dxa" w:w="1152"/>
          </w:tcPr>
          <w:p>
            <w:r/>
            <w:r>
              <w:rPr>
                <w:rFonts w:ascii="Arial" w:hAnsi="Arial"/>
                <w:b w:val="0"/>
                <w:sz w:val="19"/>
              </w:rPr>
              <w:t>45 min</w:t>
            </w:r>
          </w:p>
        </w:tc>
        <w:tc>
          <w:tcPr>
            <w:tcW w:type="dxa" w:w="4320"/>
          </w:tcPr>
          <w:p>
            <w:r/>
            <w:r>
              <w:rPr>
                <w:rFonts w:ascii="Arial" w:hAnsi="Arial"/>
                <w:b w:val="0"/>
                <w:sz w:val="18"/>
              </w:rPr>
              <w:t>In 2000 Reed Hastings offered to sell Netflix to Blockbuster for $50 million…</w:t>
            </w:r>
          </w:p>
        </w:tc>
      </w:tr>
      <w:tr>
        <w:tc>
          <w:tcPr>
            <w:tcW w:type="dxa" w:w="576"/>
            <w:shd w:val="clear" w:color="auto" w:fill="E8F0FE"/>
          </w:tcPr>
          <w:p>
            <w:r/>
            <w:r>
              <w:rPr>
                <w:rFonts w:ascii="Arial" w:hAnsi="Arial"/>
                <w:b/>
                <w:sz w:val="19"/>
              </w:rPr>
              <w:t>3</w:t>
            </w:r>
          </w:p>
        </w:tc>
        <w:tc>
          <w:tcPr>
            <w:tcW w:type="dxa" w:w="4176"/>
          </w:tcPr>
          <w:p>
            <w:r/>
            <w:r>
              <w:rPr>
                <w:rFonts w:ascii="Arial" w:hAnsi="Arial"/>
                <w:b w:val="0"/>
                <w:sz w:val="19"/>
              </w:rPr>
              <w:t>Positioning GenAI in the Innovation Loop — Where It Helps and Where It Lies</w:t>
            </w:r>
          </w:p>
        </w:tc>
        <w:tc>
          <w:tcPr>
            <w:tcW w:type="dxa" w:w="1152"/>
          </w:tcPr>
          <w:p>
            <w:r/>
            <w:r>
              <w:rPr>
                <w:rFonts w:ascii="Arial" w:hAnsi="Arial"/>
                <w:b w:val="0"/>
                <w:sz w:val="19"/>
              </w:rPr>
              <w:t>40 min</w:t>
            </w:r>
          </w:p>
        </w:tc>
        <w:tc>
          <w:tcPr>
            <w:tcW w:type="dxa" w:w="4320"/>
          </w:tcPr>
          <w:p>
            <w:r/>
            <w:r>
              <w:rPr>
                <w:rFonts w:ascii="Arial" w:hAnsi="Arial"/>
                <w:b w:val="0"/>
                <w:sz w:val="18"/>
              </w:rPr>
              <w:t>A Singapore bank's innovation team used a large language model to generate customer person…</w:t>
            </w:r>
          </w:p>
        </w:tc>
      </w:tr>
      <w:tr>
        <w:tc>
          <w:tcPr>
            <w:tcW w:type="dxa" w:w="576"/>
            <w:shd w:val="clear" w:color="auto" w:fill="E8F0FE"/>
          </w:tcPr>
          <w:p>
            <w:r/>
            <w:r>
              <w:rPr>
                <w:rFonts w:ascii="Arial" w:hAnsi="Arial"/>
                <w:b/>
                <w:sz w:val="19"/>
              </w:rPr>
              <w:t>4</w:t>
            </w:r>
          </w:p>
        </w:tc>
        <w:tc>
          <w:tcPr>
            <w:tcW w:type="dxa" w:w="4176"/>
          </w:tcPr>
          <w:p>
            <w:r/>
            <w:r>
              <w:rPr>
                <w:rFonts w:ascii="Arial" w:hAnsi="Arial"/>
                <w:b w:val="0"/>
                <w:sz w:val="19"/>
              </w:rPr>
              <w:t>GE Adventure Series — Reframing the Problem Instead of Fixing the Machine</w:t>
            </w:r>
          </w:p>
        </w:tc>
        <w:tc>
          <w:tcPr>
            <w:tcW w:type="dxa" w:w="1152"/>
          </w:tcPr>
          <w:p>
            <w:r/>
            <w:r>
              <w:rPr>
                <w:rFonts w:ascii="Arial" w:hAnsi="Arial"/>
                <w:b w:val="0"/>
                <w:sz w:val="19"/>
              </w:rPr>
              <w:t>50 min</w:t>
            </w:r>
          </w:p>
        </w:tc>
        <w:tc>
          <w:tcPr>
            <w:tcW w:type="dxa" w:w="4320"/>
          </w:tcPr>
          <w:p>
            <w:r/>
            <w:r>
              <w:rPr>
                <w:rFonts w:ascii="Arial" w:hAnsi="Arial"/>
                <w:b w:val="0"/>
                <w:sz w:val="18"/>
              </w:rPr>
              <w:t>GE Healthcare's MRI scanners were technically excellent, but designer Doug Dietz watched a…</w:t>
            </w:r>
          </w:p>
        </w:tc>
      </w:tr>
      <w:tr>
        <w:tc>
          <w:tcPr>
            <w:tcW w:type="dxa" w:w="576"/>
            <w:shd w:val="clear" w:color="auto" w:fill="E8F0FE"/>
          </w:tcPr>
          <w:p>
            <w:r/>
            <w:r>
              <w:rPr>
                <w:rFonts w:ascii="Arial" w:hAnsi="Arial"/>
                <w:b/>
                <w:sz w:val="19"/>
              </w:rPr>
              <w:t>5</w:t>
            </w:r>
          </w:p>
        </w:tc>
        <w:tc>
          <w:tcPr>
            <w:tcW w:type="dxa" w:w="4176"/>
          </w:tcPr>
          <w:p>
            <w:r/>
            <w:r>
              <w:rPr>
                <w:rFonts w:ascii="Arial" w:hAnsi="Arial"/>
                <w:b w:val="0"/>
                <w:sz w:val="19"/>
              </w:rPr>
              <w:t>IDEO Shopping Cart — Volume, Then Judgement</w:t>
            </w:r>
          </w:p>
        </w:tc>
        <w:tc>
          <w:tcPr>
            <w:tcW w:type="dxa" w:w="1152"/>
          </w:tcPr>
          <w:p>
            <w:r/>
            <w:r>
              <w:rPr>
                <w:rFonts w:ascii="Arial" w:hAnsi="Arial"/>
                <w:b w:val="0"/>
                <w:sz w:val="19"/>
              </w:rPr>
              <w:t>50 min</w:t>
            </w:r>
          </w:p>
        </w:tc>
        <w:tc>
          <w:tcPr>
            <w:tcW w:type="dxa" w:w="4320"/>
          </w:tcPr>
          <w:p>
            <w:r/>
            <w:r>
              <w:rPr>
                <w:rFonts w:ascii="Arial" w:hAnsi="Arial"/>
                <w:b w:val="0"/>
                <w:sz w:val="18"/>
              </w:rPr>
              <w:t>In 1999, ABC's Nightline gave the design firm IDEO five days to redesign the supermarket s…</w:t>
            </w:r>
          </w:p>
        </w:tc>
      </w:tr>
      <w:tr>
        <w:tc>
          <w:tcPr>
            <w:tcW w:type="dxa" w:w="576"/>
            <w:shd w:val="clear" w:color="auto" w:fill="E8F0FE"/>
          </w:tcPr>
          <w:p>
            <w:r/>
            <w:r>
              <w:rPr>
                <w:rFonts w:ascii="Arial" w:hAnsi="Arial"/>
                <w:b/>
                <w:sz w:val="19"/>
              </w:rPr>
              <w:t>6</w:t>
            </w:r>
          </w:p>
        </w:tc>
        <w:tc>
          <w:tcPr>
            <w:tcW w:type="dxa" w:w="4176"/>
          </w:tcPr>
          <w:p>
            <w:r/>
            <w:r>
              <w:rPr>
                <w:rFonts w:ascii="Arial" w:hAnsi="Arial"/>
                <w:b w:val="0"/>
                <w:sz w:val="19"/>
              </w:rPr>
              <w:t>Rapid Prototyping with AI — From Concept to Testable Artefact in One Hour</w:t>
            </w:r>
          </w:p>
        </w:tc>
        <w:tc>
          <w:tcPr>
            <w:tcW w:type="dxa" w:w="1152"/>
          </w:tcPr>
          <w:p>
            <w:r/>
            <w:r>
              <w:rPr>
                <w:rFonts w:ascii="Arial" w:hAnsi="Arial"/>
                <w:b w:val="0"/>
                <w:sz w:val="19"/>
              </w:rPr>
              <w:t>50 min</w:t>
            </w:r>
          </w:p>
        </w:tc>
        <w:tc>
          <w:tcPr>
            <w:tcW w:type="dxa" w:w="4320"/>
          </w:tcPr>
          <w:p>
            <w:r/>
            <w:r>
              <w:rPr>
                <w:rFonts w:ascii="Arial" w:hAnsi="Arial"/>
                <w:b w:val="0"/>
                <w:sz w:val="18"/>
              </w:rPr>
              <w:t>A Singapore hospital team needed to test whether a self-service kiosk would cut queue time…</w:t>
            </w:r>
          </w:p>
        </w:tc>
      </w:tr>
      <w:tr>
        <w:tc>
          <w:tcPr>
            <w:tcW w:type="dxa" w:w="576"/>
            <w:shd w:val="clear" w:color="auto" w:fill="E8F0FE"/>
          </w:tcPr>
          <w:p>
            <w:r/>
            <w:r>
              <w:rPr>
                <w:rFonts w:ascii="Arial" w:hAnsi="Arial"/>
                <w:b/>
                <w:sz w:val="19"/>
              </w:rPr>
              <w:t>7</w:t>
            </w:r>
          </w:p>
        </w:tc>
        <w:tc>
          <w:tcPr>
            <w:tcW w:type="dxa" w:w="4176"/>
          </w:tcPr>
          <w:p>
            <w:r/>
            <w:r>
              <w:rPr>
                <w:rFonts w:ascii="Arial" w:hAnsi="Arial"/>
                <w:b w:val="0"/>
                <w:sz w:val="19"/>
              </w:rPr>
              <w:t>Spotify — Reading a Scaling Model Honestly</w:t>
            </w:r>
          </w:p>
        </w:tc>
        <w:tc>
          <w:tcPr>
            <w:tcW w:type="dxa" w:w="1152"/>
          </w:tcPr>
          <w:p>
            <w:r/>
            <w:r>
              <w:rPr>
                <w:rFonts w:ascii="Arial" w:hAnsi="Arial"/>
                <w:b w:val="0"/>
                <w:sz w:val="19"/>
              </w:rPr>
              <w:t>45 min</w:t>
            </w:r>
          </w:p>
        </w:tc>
        <w:tc>
          <w:tcPr>
            <w:tcW w:type="dxa" w:w="4320"/>
          </w:tcPr>
          <w:p>
            <w:r/>
            <w:r>
              <w:rPr>
                <w:rFonts w:ascii="Arial" w:hAnsi="Arial"/>
                <w:b w:val="0"/>
                <w:sz w:val="18"/>
              </w:rPr>
              <w:t>In 2012 Henrik Kniberg and Anders Ivarsson published a paper describing how Spotify organi…</w:t>
            </w:r>
          </w:p>
        </w:tc>
      </w:tr>
      <w:tr>
        <w:tc>
          <w:tcPr>
            <w:tcW w:type="dxa" w:w="576"/>
            <w:shd w:val="clear" w:color="auto" w:fill="E8F0FE"/>
          </w:tcPr>
          <w:p>
            <w:r/>
            <w:r>
              <w:rPr>
                <w:rFonts w:ascii="Arial" w:hAnsi="Arial"/>
                <w:b/>
                <w:sz w:val="19"/>
              </w:rPr>
              <w:t>8</w:t>
            </w:r>
          </w:p>
        </w:tc>
        <w:tc>
          <w:tcPr>
            <w:tcW w:type="dxa" w:w="4176"/>
          </w:tcPr>
          <w:p>
            <w:r/>
            <w:r>
              <w:rPr>
                <w:rFonts w:ascii="Arial" w:hAnsi="Arial"/>
                <w:b w:val="0"/>
                <w:sz w:val="19"/>
              </w:rPr>
              <w:t>From Hills to Backlog — Converting Ideas into Stories with GenAI</w:t>
            </w:r>
          </w:p>
        </w:tc>
        <w:tc>
          <w:tcPr>
            <w:tcW w:type="dxa" w:w="1152"/>
          </w:tcPr>
          <w:p>
            <w:r/>
            <w:r>
              <w:rPr>
                <w:rFonts w:ascii="Arial" w:hAnsi="Arial"/>
                <w:b w:val="0"/>
                <w:sz w:val="19"/>
              </w:rPr>
              <w:t>55 min</w:t>
            </w:r>
          </w:p>
        </w:tc>
        <w:tc>
          <w:tcPr>
            <w:tcW w:type="dxa" w:w="4320"/>
          </w:tcPr>
          <w:p>
            <w:r/>
            <w:r>
              <w:rPr>
                <w:rFonts w:ascii="Arial" w:hAnsi="Arial"/>
                <w:b w:val="0"/>
                <w:sz w:val="18"/>
              </w:rPr>
              <w:t>IBM runs a two-day Design Thinking and Agile workshop in which Day 1 produces 'Hills' — ou…</w:t>
            </w:r>
          </w:p>
        </w:tc>
      </w:tr>
      <w:tr>
        <w:tc>
          <w:tcPr>
            <w:tcW w:type="dxa" w:w="576"/>
            <w:shd w:val="clear" w:color="auto" w:fill="E8F0FE"/>
          </w:tcPr>
          <w:p>
            <w:r/>
            <w:r>
              <w:rPr>
                <w:rFonts w:ascii="Arial" w:hAnsi="Arial"/>
                <w:b/>
                <w:sz w:val="19"/>
              </w:rPr>
              <w:t>9</w:t>
            </w:r>
          </w:p>
        </w:tc>
        <w:tc>
          <w:tcPr>
            <w:tcW w:type="dxa" w:w="4176"/>
          </w:tcPr>
          <w:p>
            <w:r/>
            <w:r>
              <w:rPr>
                <w:rFonts w:ascii="Arial" w:hAnsi="Arial"/>
                <w:b w:val="0"/>
                <w:sz w:val="19"/>
              </w:rPr>
              <w:t>Running Dual-Track Agile — A Sprint Simulation with AI Assistance</w:t>
            </w:r>
          </w:p>
        </w:tc>
        <w:tc>
          <w:tcPr>
            <w:tcW w:type="dxa" w:w="1152"/>
          </w:tcPr>
          <w:p>
            <w:r/>
            <w:r>
              <w:rPr>
                <w:rFonts w:ascii="Arial" w:hAnsi="Arial"/>
                <w:b w:val="0"/>
                <w:sz w:val="19"/>
              </w:rPr>
              <w:t>50 min</w:t>
            </w:r>
          </w:p>
        </w:tc>
        <w:tc>
          <w:tcPr>
            <w:tcW w:type="dxa" w:w="4320"/>
          </w:tcPr>
          <w:p>
            <w:r/>
            <w:r>
              <w:rPr>
                <w:rFonts w:ascii="Arial" w:hAnsi="Arial"/>
                <w:b w:val="0"/>
                <w:sz w:val="18"/>
              </w:rPr>
              <w:t>Marty Cagan describes the most common failure he sees in teams that believe they are agile…</w:t>
            </w:r>
          </w:p>
        </w:tc>
      </w:tr>
      <w:tr>
        <w:tc>
          <w:tcPr>
            <w:tcW w:type="dxa" w:w="576"/>
            <w:shd w:val="clear" w:color="auto" w:fill="E8F0FE"/>
          </w:tcPr>
          <w:p>
            <w:r/>
            <w:r>
              <w:rPr>
                <w:rFonts w:ascii="Arial" w:hAnsi="Arial"/>
                <w:b/>
                <w:sz w:val="19"/>
              </w:rPr>
              <w:t>10</w:t>
            </w:r>
          </w:p>
        </w:tc>
        <w:tc>
          <w:tcPr>
            <w:tcW w:type="dxa" w:w="4176"/>
          </w:tcPr>
          <w:p>
            <w:r/>
            <w:r>
              <w:rPr>
                <w:rFonts w:ascii="Arial" w:hAnsi="Arial"/>
                <w:b w:val="0"/>
                <w:sz w:val="19"/>
              </w:rPr>
              <w:t>DBS Bank — Scaling Innovation Across 25,000 People</w:t>
            </w:r>
          </w:p>
        </w:tc>
        <w:tc>
          <w:tcPr>
            <w:tcW w:type="dxa" w:w="1152"/>
          </w:tcPr>
          <w:p>
            <w:r/>
            <w:r>
              <w:rPr>
                <w:rFonts w:ascii="Arial" w:hAnsi="Arial"/>
                <w:b w:val="0"/>
                <w:sz w:val="19"/>
              </w:rPr>
              <w:t>50 min</w:t>
            </w:r>
          </w:p>
        </w:tc>
        <w:tc>
          <w:tcPr>
            <w:tcW w:type="dxa" w:w="4320"/>
          </w:tcPr>
          <w:p>
            <w:r/>
            <w:r>
              <w:rPr>
                <w:rFonts w:ascii="Arial" w:hAnsi="Arial"/>
                <w:b w:val="0"/>
                <w:sz w:val="18"/>
              </w:rPr>
              <w:t>Around 2014 DBS Bank set out to 'Make Banking Joyful' and to become a technology company d…</w:t>
            </w:r>
          </w:p>
        </w:tc>
      </w:tr>
      <w:tr>
        <w:tc>
          <w:tcPr>
            <w:tcW w:type="dxa" w:w="576"/>
            <w:shd w:val="clear" w:color="auto" w:fill="E8F0FE"/>
          </w:tcPr>
          <w:p>
            <w:r/>
            <w:r>
              <w:rPr>
                <w:rFonts w:ascii="Arial" w:hAnsi="Arial"/>
                <w:b/>
                <w:sz w:val="19"/>
              </w:rPr>
              <w:t>11</w:t>
            </w:r>
          </w:p>
        </w:tc>
        <w:tc>
          <w:tcPr>
            <w:tcW w:type="dxa" w:w="4176"/>
          </w:tcPr>
          <w:p>
            <w:r/>
            <w:r>
              <w:rPr>
                <w:rFonts w:ascii="Arial" w:hAnsi="Arial"/>
                <w:b w:val="0"/>
                <w:sz w:val="19"/>
              </w:rPr>
              <w:t>Boeing 737 MAX — Systems Thinking and the Cost of Local Optimisation</w:t>
            </w:r>
          </w:p>
        </w:tc>
        <w:tc>
          <w:tcPr>
            <w:tcW w:type="dxa" w:w="1152"/>
          </w:tcPr>
          <w:p>
            <w:r/>
            <w:r>
              <w:rPr>
                <w:rFonts w:ascii="Arial" w:hAnsi="Arial"/>
                <w:b w:val="0"/>
                <w:sz w:val="19"/>
              </w:rPr>
              <w:t>50 min</w:t>
            </w:r>
          </w:p>
        </w:tc>
        <w:tc>
          <w:tcPr>
            <w:tcW w:type="dxa" w:w="4320"/>
          </w:tcPr>
          <w:p>
            <w:r/>
            <w:r>
              <w:rPr>
                <w:rFonts w:ascii="Arial" w:hAnsi="Arial"/>
                <w:b w:val="0"/>
                <w:sz w:val="18"/>
              </w:rPr>
              <w:t>Boeing needed a fast, cheap answer to the Airbus A320neo…</w:t>
            </w:r>
          </w:p>
        </w:tc>
      </w:tr>
      <w:tr>
        <w:tc>
          <w:tcPr>
            <w:tcW w:type="dxa" w:w="576"/>
            <w:shd w:val="clear" w:color="auto" w:fill="E8F0FE"/>
          </w:tcPr>
          <w:p>
            <w:r/>
            <w:r>
              <w:rPr>
                <w:rFonts w:ascii="Arial" w:hAnsi="Arial"/>
                <w:b/>
                <w:sz w:val="19"/>
              </w:rPr>
              <w:t>12</w:t>
            </w:r>
          </w:p>
        </w:tc>
        <w:tc>
          <w:tcPr>
            <w:tcW w:type="dxa" w:w="4176"/>
          </w:tcPr>
          <w:p>
            <w:r/>
            <w:r>
              <w:rPr>
                <w:rFonts w:ascii="Arial" w:hAnsi="Arial"/>
                <w:b w:val="0"/>
                <w:sz w:val="19"/>
              </w:rPr>
              <w:t>Innovation Metrics — Designing KPIs That Change a Decision</w:t>
            </w:r>
          </w:p>
        </w:tc>
        <w:tc>
          <w:tcPr>
            <w:tcW w:type="dxa" w:w="1152"/>
          </w:tcPr>
          <w:p>
            <w:r/>
            <w:r>
              <w:rPr>
                <w:rFonts w:ascii="Arial" w:hAnsi="Arial"/>
                <w:b w:val="0"/>
                <w:sz w:val="19"/>
              </w:rPr>
              <w:t>45 min</w:t>
            </w:r>
          </w:p>
        </w:tc>
        <w:tc>
          <w:tcPr>
            <w:tcW w:type="dxa" w:w="4320"/>
          </w:tcPr>
          <w:p>
            <w:r/>
            <w:r>
              <w:rPr>
                <w:rFonts w:ascii="Arial" w:hAnsi="Arial"/>
                <w:b w:val="0"/>
                <w:sz w:val="18"/>
              </w:rPr>
              <w:t>Two innovation programmes reported to the same board…</w:t>
            </w:r>
          </w:p>
        </w:tc>
      </w:tr>
    </w:tbl>
    <w:sectPr w:rsidR="00FC693F" w:rsidRPr="0006063C" w:rsidSect="00034616">
      <w:footerReference w:type="default" r:id="rId10"/>
      <w:head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