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773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01-pic-01-0e1b4a75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3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Electrostatic Discharge Control (ESD)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C337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Initial C337 release of the ESD control courseware, delivered as a one-day 9:30am – 5:30pm course (7.5 instructional hours).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Course Overview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Learning Outcomes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Course Schedule · 9:30am – 5:30pm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Activity Alignment</w:t>
        <w:tab/>
        <w:t>5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One-day course, 9:30am – 5:30pm (7.5 instructional hours), in four modules: ESD fundamentals and failure mechanisms; ESD control principles, equipment and practices; ESD standards, testing and auditing; and training, awareness and incident improvement. Eight applied activities run through the day.</w:t>
      </w:r>
    </w:p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Apply control measures to manage ESD generation based on ESD principles.</w:t>
      </w:r>
    </w:p>
    <w:p>
      <w:pPr>
        <w:pStyle w:val="ListBullet"/>
        <w:spacing w:after="60"/>
      </w:pPr>
      <w:r>
        <w:t>LO2: Evaluate and recommend actions to improve ESD control effectiveness in accordance with ESD standards.</w:t>
      </w:r>
    </w:p>
    <w:p>
      <w:pPr>
        <w:pStyle w:val="Heading1"/>
      </w:pPr>
      <w:r>
        <w:t>Course Schedule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Session / learning activity</w:t>
            </w:r>
          </w:p>
        </w:tc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09:30–09:45</w:t>
            </w:r>
          </w:p>
        </w:tc>
        <w:tc>
          <w:tcPr>
            <w:tcW w:type="dxa" w:w="3408"/>
            <w:vAlign w:val="center"/>
          </w:tcPr>
          <w:p>
            <w:r>
              <w:t>Welcome, introductions, ground rules and course overview</w:t>
            </w:r>
          </w:p>
        </w:tc>
        <w:tc>
          <w:tcPr>
            <w:tcW w:type="dxa" w:w="3408"/>
            <w:vAlign w:val="center"/>
          </w:tcPr>
          <w:p>
            <w:r>
              <w:t>1–8</w:t>
            </w:r>
          </w:p>
        </w:tc>
      </w:tr>
      <w:tr>
        <w:tc>
          <w:tcPr>
            <w:tcW w:type="dxa" w:w="3408"/>
            <w:vAlign w:val="center"/>
          </w:tcPr>
          <w:p>
            <w:r>
              <w:t>09:45–10:20</w:t>
            </w:r>
          </w:p>
        </w:tc>
        <w:tc>
          <w:tcPr>
            <w:tcW w:type="dxa" w:w="3408"/>
            <w:vAlign w:val="center"/>
          </w:tcPr>
          <w:p>
            <w:r>
              <w:t>Module 1: charge generation, discharge paths and models</w:t>
            </w:r>
          </w:p>
        </w:tc>
        <w:tc>
          <w:tcPr>
            <w:tcW w:type="dxa" w:w="3408"/>
            <w:vAlign w:val="center"/>
          </w:tcPr>
          <w:p>
            <w:r>
              <w:t>9–23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10:20–11:10</w:t>
            </w:r>
          </w:p>
        </w:tc>
        <w:tc>
          <w:tcPr>
            <w:tcW w:type="dxa" w:w="3408"/>
            <w:vAlign w:val="center"/>
          </w:tcPr>
          <w:p>
            <w:r>
              <w:t>Failure modes, exposure points and business impact</w:t>
            </w:r>
          </w:p>
        </w:tc>
        <w:tc>
          <w:tcPr>
            <w:tcW w:type="dxa" w:w="3408"/>
            <w:vAlign w:val="center"/>
          </w:tcPr>
          <w:p>
            <w:r>
              <w:t>24–35</w:t>
            </w:r>
          </w:p>
        </w:tc>
      </w:tr>
      <w:tr>
        <w:tc>
          <w:tcPr>
            <w:tcW w:type="dxa" w:w="3408"/>
            <w:vAlign w:val="center"/>
          </w:tcPr>
          <w:p>
            <w:r>
              <w:t>11:10–11:35</w:t>
            </w:r>
          </w:p>
        </w:tc>
        <w:tc>
          <w:tcPr>
            <w:tcW w:type="dxa" w:w="3408"/>
            <w:vAlign w:val="center"/>
          </w:tcPr>
          <w:p>
            <w:r>
              <w:t>Activities 1–2: hazard hunt and failure triage</w:t>
            </w:r>
          </w:p>
        </w:tc>
        <w:tc>
          <w:tcPr>
            <w:tcW w:type="dxa" w:w="3408"/>
            <w:vAlign w:val="center"/>
          </w:tcPr>
          <w:p>
            <w:r>
              <w:t>Act 1: 36–38, Act 2: 39–41, recap 42</w:t>
            </w:r>
          </w:p>
        </w:tc>
      </w:tr>
      <w:tr>
        <w:tc>
          <w:tcPr>
            <w:tcW w:type="dxa" w:w="3408"/>
            <w:vAlign w:val="center"/>
          </w:tcPr>
          <w:p>
            <w:r>
              <w:t>11:35–12:25</w:t>
            </w:r>
          </w:p>
        </w:tc>
        <w:tc>
          <w:tcPr>
            <w:tcW w:type="dxa" w:w="3408"/>
            <w:vAlign w:val="center"/>
          </w:tcPr>
          <w:p>
            <w:r>
              <w:t>Module 2: EPA, grounding, personnel and worksurface controls</w:t>
            </w:r>
          </w:p>
        </w:tc>
        <w:tc>
          <w:tcPr>
            <w:tcW w:type="dxa" w:w="3408"/>
            <w:vAlign w:val="center"/>
          </w:tcPr>
          <w:p>
            <w:r>
              <w:t>43–53</w:t>
            </w:r>
          </w:p>
        </w:tc>
      </w:tr>
      <w:tr>
        <w:tc>
          <w:tcPr>
            <w:tcW w:type="dxa" w:w="3408"/>
            <w:vAlign w:val="center"/>
          </w:tcPr>
          <w:p>
            <w:r>
              <w:t>12:25–12:55</w:t>
            </w:r>
          </w:p>
        </w:tc>
        <w:tc>
          <w:tcPr>
            <w:tcW w:type="dxa" w:w="3408"/>
            <w:vAlign w:val="center"/>
          </w:tcPr>
          <w:p>
            <w:r>
              <w:t>Lunch</w:t>
            </w:r>
          </w:p>
        </w:tc>
        <w:tc>
          <w:tcPr>
            <w:tcW w:type="dxa" w:w="3408"/>
            <w:vAlign w:val="center"/>
          </w:tcPr>
          <w:p>
            <w:r>
              <w:t>54</w:t>
            </w:r>
          </w:p>
        </w:tc>
      </w:tr>
      <w:tr>
        <w:tc>
          <w:tcPr>
            <w:tcW w:type="dxa" w:w="3408"/>
            <w:vAlign w:val="center"/>
          </w:tcPr>
          <w:p>
            <w:r>
              <w:t>12:55–13:35</w:t>
            </w:r>
          </w:p>
        </w:tc>
        <w:tc>
          <w:tcPr>
            <w:tcW w:type="dxa" w:w="3408"/>
            <w:vAlign w:val="center"/>
          </w:tcPr>
          <w:p>
            <w:r>
              <w:t>Ionisation, shielding, packaging and material movement</w:t>
            </w:r>
          </w:p>
        </w:tc>
        <w:tc>
          <w:tcPr>
            <w:tcW w:type="dxa" w:w="3408"/>
            <w:vAlign w:val="center"/>
          </w:tcPr>
          <w:p>
            <w:r>
              <w:t>55–64</w:t>
            </w:r>
          </w:p>
        </w:tc>
      </w:tr>
      <w:tr>
        <w:tc>
          <w:tcPr>
            <w:tcW w:type="dxa" w:w="3408"/>
            <w:vAlign w:val="center"/>
          </w:tcPr>
          <w:p>
            <w:r>
              <w:t>13:35–14:10</w:t>
            </w:r>
          </w:p>
        </w:tc>
        <w:tc>
          <w:tcPr>
            <w:tcW w:type="dxa" w:w="3408"/>
            <w:vAlign w:val="center"/>
          </w:tcPr>
          <w:p>
            <w:r>
              <w:t>Activities 3–4: EPA design and automated-cell controls</w:t>
            </w:r>
          </w:p>
        </w:tc>
        <w:tc>
          <w:tcPr>
            <w:tcW w:type="dxa" w:w="3408"/>
            <w:vAlign w:val="center"/>
          </w:tcPr>
          <w:p>
            <w:r>
              <w:t>Act 3: 65–67, Act 4: 68–70, recap 71</w:t>
            </w:r>
          </w:p>
        </w:tc>
      </w:tr>
      <w:tr>
        <w:tc>
          <w:tcPr>
            <w:tcW w:type="dxa" w:w="3408"/>
            <w:vAlign w:val="center"/>
          </w:tcPr>
          <w:p>
            <w:r>
              <w:t>14:10–14:50</w:t>
            </w:r>
          </w:p>
        </w:tc>
        <w:tc>
          <w:tcPr>
            <w:tcW w:type="dxa" w:w="3408"/>
            <w:vAlign w:val="center"/>
          </w:tcPr>
          <w:p>
            <w:r>
              <w:t>Module 3: standards and programme architecture</w:t>
            </w:r>
          </w:p>
        </w:tc>
        <w:tc>
          <w:tcPr>
            <w:tcW w:type="dxa" w:w="3408"/>
            <w:vAlign w:val="center"/>
          </w:tcPr>
          <w:p>
            <w:r>
              <w:t>72–77</w:t>
            </w:r>
          </w:p>
        </w:tc>
      </w:tr>
      <w:tr>
        <w:tc>
          <w:tcPr>
            <w:tcW w:type="dxa" w:w="3408"/>
            <w:vAlign w:val="center"/>
          </w:tcPr>
          <w:p>
            <w:r>
              <w:t>14:50–15:35</w:t>
            </w:r>
          </w:p>
        </w:tc>
        <w:tc>
          <w:tcPr>
            <w:tcW w:type="dxa" w:w="3408"/>
            <w:vAlign w:val="center"/>
          </w:tcPr>
          <w:p>
            <w:r>
              <w:t>Measurement discipline, instruments and verification</w:t>
            </w:r>
          </w:p>
        </w:tc>
        <w:tc>
          <w:tcPr>
            <w:tcW w:type="dxa" w:w="3408"/>
            <w:vAlign w:val="center"/>
          </w:tcPr>
          <w:p>
            <w:r>
              <w:t>78–88</w:t>
            </w:r>
          </w:p>
        </w:tc>
      </w:tr>
      <w:tr>
        <w:tc>
          <w:tcPr>
            <w:tcW w:type="dxa" w:w="3408"/>
            <w:vAlign w:val="center"/>
          </w:tcPr>
          <w:p>
            <w:r>
              <w:t>15:35–16:10</w:t>
            </w:r>
          </w:p>
        </w:tc>
        <w:tc>
          <w:tcPr>
            <w:tcW w:type="dxa" w:w="3408"/>
            <w:vAlign w:val="center"/>
          </w:tcPr>
          <w:p>
            <w:r>
              <w:t>Activities 5–6: verification round and standards audit</w:t>
            </w:r>
          </w:p>
        </w:tc>
        <w:tc>
          <w:tcPr>
            <w:tcW w:type="dxa" w:w="3408"/>
            <w:vAlign w:val="center"/>
          </w:tcPr>
          <w:p>
            <w:r>
              <w:t>Act 5: 89–91, Act 6: 92–94, recap 95</w:t>
            </w:r>
          </w:p>
        </w:tc>
      </w:tr>
      <w:tr>
        <w:tc>
          <w:tcPr>
            <w:tcW w:type="dxa" w:w="3408"/>
            <w:vAlign w:val="center"/>
          </w:tcPr>
          <w:p>
            <w:r>
              <w:t>16:10–16:45</w:t>
            </w:r>
          </w:p>
        </w:tc>
        <w:tc>
          <w:tcPr>
            <w:tcW w:type="dxa" w:w="3408"/>
            <w:vAlign w:val="center"/>
          </w:tcPr>
          <w:p>
            <w:r>
              <w:t>Module 4: competence, incident response and CAPA</w:t>
            </w:r>
          </w:p>
        </w:tc>
        <w:tc>
          <w:tcPr>
            <w:tcW w:type="dxa" w:w="3408"/>
            <w:vAlign w:val="center"/>
          </w:tcPr>
          <w:p>
            <w:r>
              <w:t>96–108</w:t>
            </w:r>
          </w:p>
        </w:tc>
      </w:tr>
      <w:tr>
        <w:tc>
          <w:tcPr>
            <w:tcW w:type="dxa" w:w="3408"/>
            <w:vAlign w:val="center"/>
          </w:tcPr>
          <w:p>
            <w:r>
              <w:t>16:45–17:05</w:t>
            </w:r>
          </w:p>
        </w:tc>
        <w:tc>
          <w:tcPr>
            <w:tcW w:type="dxa" w:w="3408"/>
            <w:vAlign w:val="center"/>
          </w:tcPr>
          <w:p>
            <w:r>
              <w:t>Activity 7: incident investigation</w:t>
            </w:r>
          </w:p>
        </w:tc>
        <w:tc>
          <w:tcPr>
            <w:tcW w:type="dxa" w:w="3408"/>
            <w:vAlign w:val="center"/>
          </w:tcPr>
          <w:p>
            <w:r>
              <w:t>Act 7: 109–111</w:t>
            </w:r>
          </w:p>
        </w:tc>
      </w:tr>
      <w:tr>
        <w:tc>
          <w:tcPr>
            <w:tcW w:type="dxa" w:w="3408"/>
            <w:vAlign w:val="center"/>
          </w:tcPr>
          <w:p>
            <w:r>
              <w:t>17:05–17:20</w:t>
            </w:r>
          </w:p>
        </w:tc>
        <w:tc>
          <w:tcPr>
            <w:tcW w:type="dxa" w:w="3408"/>
            <w:vAlign w:val="center"/>
          </w:tcPr>
          <w:p>
            <w:r>
              <w:t>Activity 8: management capstone and course summary</w:t>
            </w:r>
          </w:p>
        </w:tc>
        <w:tc>
          <w:tcPr>
            <w:tcW w:type="dxa" w:w="3408"/>
            <w:vAlign w:val="center"/>
          </w:tcPr>
          <w:p>
            <w:r>
              <w:t>Act 8: 112–114, 115–116</w:t>
            </w:r>
          </w:p>
        </w:tc>
      </w:tr>
      <w:tr>
        <w:tc>
          <w:tcPr>
            <w:tcW w:type="dxa" w:w="3408"/>
            <w:vAlign w:val="center"/>
          </w:tcPr>
          <w:p>
            <w:r>
              <w:t>17:20–17:30</w:t>
            </w:r>
          </w:p>
        </w:tc>
        <w:tc>
          <w:tcPr>
            <w:tcW w:type="dxa" w:w="3408"/>
            <w:vAlign w:val="center"/>
          </w:tcPr>
          <w:p>
            <w:r>
              <w:t>Course recap, Q&amp;A and course feedback</w:t>
            </w:r>
          </w:p>
        </w:tc>
        <w:tc>
          <w:tcPr>
            <w:tcW w:type="dxa" w:w="3408"/>
            <w:vAlign w:val="center"/>
          </w:tcPr>
          <w:p>
            <w:r>
              <w:t>117–118</w:t>
            </w:r>
          </w:p>
        </w:tc>
      </w:tr>
    </w:tbl>
    <w:p>
      <w:pPr>
        <w:pStyle w:val="Heading1"/>
      </w:pPr>
      <w:r>
        <w:t>Activity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B981"/>
          </w:tcPr>
          <w:p>
            <w:r>
              <w:t>Activity</w:t>
            </w:r>
          </w:p>
        </w:tc>
        <w:tc>
          <w:tcPr>
            <w:tcW w:type="dxa" w:w="2556"/>
            <w:shd w:fill="10B981"/>
          </w:tcPr>
          <w:p>
            <w:r>
              <w:t>Module</w:t>
            </w:r>
          </w:p>
        </w:tc>
        <w:tc>
          <w:tcPr>
            <w:tcW w:type="dxa" w:w="2556"/>
            <w:shd w:fill="10B981"/>
          </w:tcPr>
          <w:p>
            <w:r>
              <w:t>Output</w:t>
            </w:r>
          </w:p>
        </w:tc>
        <w:tc>
          <w:tcPr>
            <w:tcW w:type="dxa" w:w="2556"/>
            <w:shd w:fill="10B981"/>
          </w:tcPr>
          <w:p>
            <w:r>
              <w:t>Slides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1. Static Hazard Hunt at NovaSense Incoming Inspection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1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Annotated hazard map; Risk-prioritisation worksheet; Three-control proposal; Peer-review note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36–38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2. Medical Microchip Failure Triage: ESD, EOS or Process Defect?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1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Chronology; Hypothesis matrix; Containment plan; Decision-gate briefing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39–41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3. Design and Commission an EPA for Orion Optics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2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EPA layout; Grounding/bonding diagram; Insulator-control register; Commissioning plan and readiness certificate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65–67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4. Select Controls for the Aster Robotics Handling Cell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2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Exposure-path map; Control-selection matrix; Monitoring/stop-condition plan; Maintenance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68–70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5. Execute a Compliance Verification Round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3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Completed measurement log; Failure/disposition records; Metric calculation; Signed evidence package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89–91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6. Standards-Based EPA Audit at Helix Assembly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3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Audit plan; Completed checklist; Evidence register; Graded findings and follow-up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92–94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7. Investigate the PulseMed ESD Incident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 4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Containment record; Timeline and causal analysis; CAPA plan; Effectiveness-verification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109–111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8. Management Capstone: Build the Apex ESD Control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Modules 1–4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ESD control plan; Qualification and verification matrices; Competency matrix; Metrics dashboard and 90-day roadmap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112–114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5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