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ITIL 4 Foundation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C348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non-WSQ release (C348), mirrored from the ITIL 4 Foundation master courseware: five topics across three days, eight group labs on the BrightDesk Services scenario, and exam preparation for the included ITIL 4 Foundation exam voucher.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title simplified to 'ITIL 4 Foundation Training' (voucher wording removed from the document covers; the voucher itself is unchanged).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Preparation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Understand Key Concepts of Service Management  (25%)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Service Management, Value Co-Creation, Utility and Warranty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ITIL Guiding Principles  (20%)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Seven Guiding Principles and Decision Scenarios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The Four Dimensions of Service Management  (15%)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Four Dimensions of Service Management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The Service Value System  (20%)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Service Value System and Service Value Chain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ITIL Practices  (20%)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Incident, Problem, Service Request, Service Desk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Change Enablement, Release and Deployment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Service Level Management, Continual Improvement and Metrics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ITIL Capstone and Exam Readiness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Key Distinctions and Quick References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Next Steps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13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Use this guide alongside the course slides and the in-class group activities. ITIL 4 Foundation is a knowledge-based course: the activities are group discussions, case-study analyses and scenario triage exercises rather than software labs, so the value comes from working through the reasoning with your group and defending your conclusions to the class.</w:t>
      </w:r>
    </w:p>
    <w:p>
      <w:r>
        <w:t>Definitions matter in ITIL. Many exam questions turn on the precise distinction between two similar terms — output and outcome, utility and warranty, incident and problem, service request and incident. Where this guide gives a definition, learn it as written.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Explain the key concepts of service management, including services, value, outcomes, costs, risks, utility and warranty, and the roles of service providers and consumers.</w:t>
      </w:r>
    </w:p>
    <w:p>
      <w:pPr>
        <w:pStyle w:val="ListBullet"/>
      </w:pPr>
      <w:r>
        <w:t>LO2: Apply the seven ITIL guiding principles to service management decisions and improvement initiatives in the workplace.</w:t>
      </w:r>
    </w:p>
    <w:p>
      <w:pPr>
        <w:pStyle w:val="ListBullet"/>
      </w:pPr>
      <w:r>
        <w:t>LO3: Describe the four dimensions of service management and evaluate how each dimension affects the delivery of a service.</w:t>
      </w:r>
    </w:p>
    <w:p>
      <w:pPr>
        <w:pStyle w:val="ListBullet"/>
      </w:pPr>
      <w:r>
        <w:t>LO4: Explain the ITIL service value system and the six service value chain activities, and apply the continual improvement model.</w:t>
      </w:r>
    </w:p>
    <w:p>
      <w:pPr>
        <w:pStyle w:val="ListBullet"/>
      </w:pPr>
      <w:r>
        <w:t>LO5: Describe the purpose of the key ITIL practices and apply them to incident, problem, change and service request scenarios.</w:t>
      </w:r>
    </w:p>
    <w:p>
      <w:pPr>
        <w:pStyle w:val="Heading1"/>
      </w:pPr>
      <w:r>
        <w:t>Before You Start — Preparation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No prior ITIL certification or technical prerequisite is required.</w:t>
      </w:r>
    </w:p>
    <w:p>
      <w:pPr>
        <w:pStyle w:val="ListBullet"/>
      </w:pPr>
      <w:r>
        <w:t>Familiarity with an IT support, IT operations or service delivery environment is helpful but not essential.</w:t>
      </w:r>
    </w:p>
    <w:p>
      <w:pPr>
        <w:pStyle w:val="ListBullet"/>
      </w:pPr>
      <w:r>
        <w:t>Bring a real service or workplace situation to discuss — several activities ask you to apply ITIL concepts to your own organisation.</w:t>
      </w:r>
    </w:p>
    <w:p>
      <w:pPr>
        <w:pStyle w:val="ListBullet"/>
      </w:pPr>
      <w:r>
        <w:t>Pen and paper (or a laptop) for the lab worksheets and group presentations.</w:t>
      </w:r>
    </w:p>
    <w:p>
      <w:r>
        <w:rPr>
          <w:b/>
          <w:color w:val="1F6FEB"/>
          <w:sz w:val="22"/>
        </w:rPr>
        <w:t>Verify your setup</w:t>
      </w:r>
    </w:p>
    <w:p>
      <w:r>
        <w:t>No software setup is required — the labs are worksheet and discussion based.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Each activity states the learning outcome it maps to, so you can trace it back to the exam domains.</w:t>
      </w:r>
    </w:p>
    <w:p>
      <w:pPr>
        <w:pStyle w:val="ListBullet"/>
      </w:pPr>
      <w:r>
        <w:t>Activities are done in small groups of 2–3 persons; each group presents its findings to the class.</w:t>
      </w:r>
    </w:p>
    <w:p>
      <w:pPr>
        <w:pStyle w:val="ListBullet"/>
      </w:pPr>
      <w:r>
        <w:t>The 'Test it' check at the end of each activity is the standard your group's output should meet.</w:t>
      </w:r>
    </w:p>
    <w:p>
      <w:pPr>
        <w:pStyle w:val="ListBullet"/>
      </w:pPr>
      <w:r>
        <w:t>Key ITIL terms appear in the Glossary at the end of this guide — learn the exact definitions.</w:t>
      </w:r>
    </w:p>
    <w:p>
      <w:pPr>
        <w:pStyle w:val="ListBullet"/>
      </w:pPr>
      <w:r>
        <w:t>Record the assumptions your group makes; being able to justify an assumption is part of the skill.</w:t>
      </w:r>
    </w:p>
    <w:p>
      <w:pPr>
        <w:pStyle w:val="Heading1"/>
      </w:pPr>
      <w:r>
        <w:t>Topic 01 — Understand Key Concepts of Service Management  (25%)</w:t>
      </w:r>
    </w:p>
    <w:p>
      <w:r>
        <w:t>Services · Value · Outcomes, Costs and Risks · Providers and Consumers · Utility and Warranty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service is a means of enabling value co-creation by facilitating outcomes customers want to achieve, without the customer having to manage specific costs and risks.</w:t>
      </w:r>
    </w:p>
    <w:p>
      <w:pPr>
        <w:pStyle w:val="ListBullet"/>
      </w:pPr>
      <w:r>
        <w:t>Service management is a set of specialised organisational capabilities for enabling value to customers in the form of services.</w:t>
      </w:r>
    </w:p>
    <w:p>
      <w:pPr>
        <w:pStyle w:val="ListBullet"/>
      </w:pPr>
      <w:r>
        <w:t>Value is co-created through an active relationship between the service provider and the service consumer.</w:t>
      </w:r>
    </w:p>
    <w:p>
      <w:pPr>
        <w:pStyle w:val="ListBullet"/>
      </w:pPr>
      <w:r>
        <w:t>Service consumers take on the roles of customer, user and sponsor; providers deliver service offerings made up of goods, access to resources and service actions.</w:t>
      </w:r>
    </w:p>
    <w:p>
      <w:pPr>
        <w:pStyle w:val="ListBullet"/>
      </w:pPr>
      <w:r>
        <w:t>Outputs are deliverables of an activity; outcomes are the results a stakeholder actually achieves, enabled by those outputs.</w:t>
      </w:r>
    </w:p>
    <w:p>
      <w:pPr>
        <w:pStyle w:val="ListBullet"/>
      </w:pPr>
      <w:r>
        <w:t>Utility is what the service does (fit for purpose); warranty is how the service performs (fit for use).</w:t>
      </w:r>
    </w:p>
    <w:p>
      <w:pPr>
        <w:pStyle w:val="Heading2"/>
      </w:pPr>
      <w:r>
        <w:t>Lab 1 — Service Management, Value Co-Creation, Utility and Warranty</w:t>
      </w:r>
    </w:p>
    <w:p>
      <w:r>
        <w:t>Learning outcome: Explain services, value co-creation, outputs vs outcomes, costs, risks, utility and warranty (LO1).</w:t>
      </w:r>
    </w:p>
    <w:p>
      <w:r>
        <w:t>Goal: Work the BrightDesk Employee Digital Workplace scenario: identify the service, provider, consumer and users; separate outputs from outcomes; define utility and warranty; and map the costs and risks the service imposes on and removes from the consumer.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labs/lab-01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can state the service, its provider, consumer roles and users; separates every output from its outcome; and defends its utility, warranty, cost and risk mappings.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labs/lab-01-*.md. Work the labs with your group on the shared BrightDesk Services scenario.</w:t>
      </w:r>
    </w:p>
    <w:p/>
    <w:p>
      <w:pPr>
        <w:pStyle w:val="Heading1"/>
      </w:pPr>
      <w:r>
        <w:t>Topic 02 — ITIL Guiding Principles  (20%)</w:t>
      </w:r>
    </w:p>
    <w:p>
      <w:r>
        <w:t>Focus on Value · Start Where You Are · Progress Iteratively · Collaborate · Think Holistically · Keep It Simple · Optimize and Automate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guiding principle is a recommendation that guides an organisation in all circumstances, regardless of changes in goals, strategies or type of work.</w:t>
      </w:r>
    </w:p>
    <w:p>
      <w:pPr>
        <w:pStyle w:val="ListBullet"/>
      </w:pPr>
      <w:r>
        <w:t>Focus on value: everything the organisation does should link back, directly or indirectly, to value for itself, its customers and its stakeholders.</w:t>
      </w:r>
    </w:p>
    <w:p>
      <w:pPr>
        <w:pStyle w:val="ListBullet"/>
      </w:pPr>
      <w:r>
        <w:t>Start where you are: assess and reuse what already exists rather than discarding it and rebuilding from scratch.</w:t>
      </w:r>
    </w:p>
    <w:p>
      <w:pPr>
        <w:pStyle w:val="ListBullet"/>
      </w:pPr>
      <w:r>
        <w:t>Progress iteratively with feedback: organise work into smaller manageable sections, executed and completed in a timely manner, using feedback at each iteration.</w:t>
      </w:r>
    </w:p>
    <w:p>
      <w:pPr>
        <w:pStyle w:val="ListBullet"/>
      </w:pPr>
      <w:r>
        <w:t>Collaborate and promote visibility: involve the right people in the right roles to improve buy-in, relevance and the likelihood of long-term success.</w:t>
      </w:r>
    </w:p>
    <w:p>
      <w:pPr>
        <w:pStyle w:val="ListBullet"/>
      </w:pPr>
      <w:r>
        <w:t>Think and work holistically, keep it simple and practical, and optimize before you automate.</w:t>
      </w:r>
    </w:p>
    <w:p>
      <w:pPr>
        <w:pStyle w:val="Heading2"/>
      </w:pPr>
      <w:r>
        <w:t>Lab 2 — Seven Guiding Principles and Decision Scenarios</w:t>
      </w:r>
    </w:p>
    <w:p>
      <w:r>
        <w:t>Learning outcome: Apply the seven ITIL guiding principles to service management decisions (LO2).</w:t>
      </w:r>
    </w:p>
    <w:p>
      <w:r>
        <w:t>Goal: Apply each of the seven guiding principles to a set of BrightDesk decision scenarios, stating what the principle would have you do — and stop doing — in each case.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labs/lab-02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can name all seven guiding principles and, for each decision scenario, justify which principle applies and what it changes in practice.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labs/lab-02-*.md. Work the labs with your group on the shared BrightDesk Services scenario.</w:t>
      </w:r>
    </w:p>
    <w:p/>
    <w:p>
      <w:pPr>
        <w:pStyle w:val="Heading1"/>
      </w:pPr>
      <w:r>
        <w:t>Topic 03 — The Four Dimensions of Service Management  (15%)</w:t>
      </w:r>
    </w:p>
    <w:p>
      <w:r>
        <w:t>Organizations and People · Information and Technology · Partners and Suppliers · Value Streams and Processes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four dimensions ensure a holistic approach to service management; every component of the SVS must be considered from all four.</w:t>
      </w:r>
    </w:p>
    <w:p>
      <w:pPr>
        <w:pStyle w:val="ListBullet"/>
      </w:pPr>
      <w:r>
        <w:t>Organizations and people covers roles, responsibilities, structures, culture and the competencies needed to deliver the service.</w:t>
      </w:r>
    </w:p>
    <w:p>
      <w:pPr>
        <w:pStyle w:val="ListBullet"/>
      </w:pPr>
      <w:r>
        <w:t>Information and technology covers the information and knowledge required, plus the technologies that support and enable the service.</w:t>
      </w:r>
    </w:p>
    <w:p>
      <w:pPr>
        <w:pStyle w:val="ListBullet"/>
      </w:pPr>
      <w:r>
        <w:t>Partners and suppliers covers relationships with other organisations involved in the design, deployment, delivery and support of services.</w:t>
      </w:r>
    </w:p>
    <w:p>
      <w:pPr>
        <w:pStyle w:val="ListBullet"/>
      </w:pPr>
      <w:r>
        <w:t>Value streams and processes covers how the parts of the organisation work together, in an integrated and coordinated way, to enable value creation.</w:t>
      </w:r>
    </w:p>
    <w:p>
      <w:pPr>
        <w:pStyle w:val="ListBullet"/>
      </w:pPr>
      <w:r>
        <w:t>External factors — political, economic, social, technological, legal and environmental (PESTLE) — constrain and shape all four dimensions.</w:t>
      </w:r>
    </w:p>
    <w:p>
      <w:pPr>
        <w:pStyle w:val="Heading2"/>
      </w:pPr>
      <w:r>
        <w:t>Lab 3 — Four Dimensions of Service Management</w:t>
      </w:r>
    </w:p>
    <w:p>
      <w:r>
        <w:t>Learning outcome: Evaluate a service across the four dimensions of service management and PESTLE factors (LO3).</w:t>
      </w:r>
    </w:p>
    <w:p>
      <w:r>
        <w:t>Goal: Analyse the BrightDesk service across organizations and people, information and technology, partners and suppliers, and value streams and processes; apply PESTLE to the external factors; and identify the weakest dimension.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labs/lab-03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has findings under all four dimensions, has applied PESTLE to the external factors, and can defend which dimension is the weakest and why.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labs/lab-03-*.md. Work the labs with your group on the shared BrightDesk Services scenario.</w:t>
      </w:r>
    </w:p>
    <w:p/>
    <w:p>
      <w:pPr>
        <w:pStyle w:val="Heading1"/>
      </w:pPr>
      <w:r>
        <w:t>Topic 04 — The Service Value System  (20%)</w:t>
      </w:r>
    </w:p>
    <w:p>
      <w:r>
        <w:t>ITIL SVS · Plan · Improve · Engage · Design and Transition · Obtain/Build · Deliver and Support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ITIL service value system describes how all components and activities of the organisation work together as a system to enable value creation.</w:t>
      </w:r>
    </w:p>
    <w:p>
      <w:pPr>
        <w:pStyle w:val="ListBullet"/>
      </w:pPr>
      <w:r>
        <w:t>The SVS comprises guiding principles, governance, the service value chain, practices and continual improvement; its inputs are opportunity and demand.</w:t>
      </w:r>
    </w:p>
    <w:p>
      <w:pPr>
        <w:pStyle w:val="ListBullet"/>
      </w:pPr>
      <w:r>
        <w:t>The service value chain is a set of six interconnected activities an organisation performs to deliver a valuable product or service to its consumers.</w:t>
      </w:r>
    </w:p>
    <w:p>
      <w:pPr>
        <w:pStyle w:val="ListBullet"/>
      </w:pPr>
      <w:r>
        <w:t>Plan ensures a shared understanding of vision, status and improvement direction; improve ensures continual improvement of products, services and practices.</w:t>
      </w:r>
    </w:p>
    <w:p>
      <w:pPr>
        <w:pStyle w:val="ListBullet"/>
      </w:pPr>
      <w:r>
        <w:t>Engage provides understanding of stakeholder needs and transparency; design and transition ensures products and services continually meet expectations.</w:t>
      </w:r>
    </w:p>
    <w:p>
      <w:pPr>
        <w:pStyle w:val="ListBullet"/>
      </w:pPr>
      <w:r>
        <w:t>The continual improvement model runs from 'What is the vision?' through to 'How do we keep the momentum going?' in seven steps.</w:t>
      </w:r>
    </w:p>
    <w:p>
      <w:pPr>
        <w:pStyle w:val="Heading2"/>
      </w:pPr>
      <w:r>
        <w:t>Lab 4 — Service Value System and Service Value Chain</w:t>
      </w:r>
    </w:p>
    <w:p>
      <w:r>
        <w:t>Learning outcome: Explain the ITIL service value system and the six service value chain activities (LO4).</w:t>
      </w:r>
    </w:p>
    <w:p>
      <w:r>
        <w:t>Goal: Map the BrightDesk SVS: identify opportunity and demand as inputs, then trace a request through the six value chain activities, listing the inputs and outputs of each.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labs/lab-04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has traced a request end-to-end through all six value chain activities, with a named input and output for each activity.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labs/lab-04-*.md. Work the labs with your group on the shared BrightDesk Services scenario.</w:t>
      </w:r>
    </w:p>
    <w:p/>
    <w:p>
      <w:pPr>
        <w:pStyle w:val="Heading1"/>
      </w:pPr>
      <w:r>
        <w:t>Topic 05 — ITIL Practices  (20%)</w:t>
      </w:r>
    </w:p>
    <w:p>
      <w:r>
        <w:t>Continual Improvement · Change Enablement · Incident · Problem · Service Request · Service Desk · Service Level Management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practice is a set of organisational resources designed for performing work or accomplishing an objective; ITIL 4 defines 34 practices in three groups.</w:t>
      </w:r>
    </w:p>
    <w:p>
      <w:pPr>
        <w:pStyle w:val="ListBullet"/>
      </w:pPr>
      <w:r>
        <w:t>Incident management minimises the negative impact of incidents by restoring normal service operation as quickly as possible.</w:t>
      </w:r>
    </w:p>
    <w:p>
      <w:pPr>
        <w:pStyle w:val="ListBullet"/>
      </w:pPr>
      <w:r>
        <w:t>Problem management reduces the likelihood and impact of incidents by identifying actual and potential causes; a known error is an analysed problem not yet resolved.</w:t>
      </w:r>
    </w:p>
    <w:p>
      <w:pPr>
        <w:pStyle w:val="ListBullet"/>
      </w:pPr>
      <w:r>
        <w:t>Change enablement maximises the number of successful IT changes by ensuring risks are properly assessed and changes authorised by a change authority.</w:t>
      </w:r>
    </w:p>
    <w:p>
      <w:pPr>
        <w:pStyle w:val="ListBullet"/>
      </w:pPr>
      <w:r>
        <w:t>The service desk captures demand for incident resolution and service requests, and is the entry point and single point of contact for users.</w:t>
      </w:r>
    </w:p>
    <w:p>
      <w:pPr>
        <w:pStyle w:val="ListBullet"/>
      </w:pPr>
      <w:r>
        <w:t>Service level management sets clear business-based targets for service performance, documented in service level agreements (SLAs).</w:t>
      </w:r>
    </w:p>
    <w:p>
      <w:pPr>
        <w:pStyle w:val="Heading2"/>
      </w:pPr>
      <w:r>
        <w:t>Lab 5 — Incident, Problem, Service Request, Service Desk</w:t>
      </w:r>
    </w:p>
    <w:p>
      <w:r>
        <w:t>Learning outcome: Apply incident, problem, service request and service desk practices to real contacts (LO5).</w:t>
      </w:r>
    </w:p>
    <w:p>
      <w:r>
        <w:t>Goal: Triage a morning's BrightDesk contacts: classify each as an incident, problem, known error or service request, justify the classification, and design the handling path.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labs/lab-05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has classified every contact in the morning's queue as incident, problem, known error or service request, and can justify each handling path.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labs/lab-05-*.md. Work the labs with your group on the shared BrightDesk Services scenario.</w:t>
      </w:r>
    </w:p>
    <w:p/>
    <w:p>
      <w:pPr>
        <w:pStyle w:val="Heading2"/>
      </w:pPr>
      <w:r>
        <w:t>Lab 6 — Change Enablement, Release and Deployment</w:t>
      </w:r>
    </w:p>
    <w:p>
      <w:r>
        <w:t>Learning outcome: Apply change enablement and distinguish change types, change authorities, release and deployment (LO5).</w:t>
      </w:r>
    </w:p>
    <w:p>
      <w:r>
        <w:t>Goal: Classify BrightDesk changes as standard, normal or emergency; assign the right change authority; and distinguish deployment from release.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labs/lab-06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has classified every change as standard, normal or emergency with the right change authority, and can state the difference between release and deployment.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labs/lab-06-*.md. Work the labs with your group on the shared BrightDesk Services scenario.</w:t>
      </w:r>
    </w:p>
    <w:p/>
    <w:p>
      <w:pPr>
        <w:pStyle w:val="Heading2"/>
      </w:pPr>
      <w:r>
        <w:t>Lab 7 — Service Level Management, Continual Improvement and Metrics</w:t>
      </w:r>
    </w:p>
    <w:p>
      <w:r>
        <w:t>Learning outcome: Apply service level management and the continual improvement model to service performance (LO5, LO4).</w:t>
      </w:r>
    </w:p>
    <w:p>
      <w:r>
        <w:t>Goal: Write business-based SLA targets for the BrightDesk service, avoid the watermelon SLA, and run the seven-step continual improvement model against a real shortfall.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labs/lab-07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has business-based SLA targets (not just technical metrics) and a completed seven-step continual improvement plan for the shortfall.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labs/lab-07-*.md. Work the labs with your group on the shared BrightDesk Services scenario.</w:t>
      </w:r>
    </w:p>
    <w:p/>
    <w:p>
      <w:pPr>
        <w:pStyle w:val="Heading2"/>
      </w:pPr>
      <w:r>
        <w:t>Lab 8 — ITIL Capstone and Exam Readiness</w:t>
      </w:r>
    </w:p>
    <w:p>
      <w:r>
        <w:t>Learning outcome: Consolidate all five topics and rehearse ITIL 4 Foundation exam-style questions (LO1–LO5).</w:t>
      </w:r>
    </w:p>
    <w:p>
      <w:r>
        <w:t>Goal: Bring the whole course together on the BrightDesk improvement case, then work exam-style questions across all five topics.</w:t>
      </w:r>
    </w:p>
    <w:p>
      <w:r>
        <w:rPr>
          <w:b/>
          <w:color w:val="1F6FEB"/>
          <w:sz w:val="22"/>
        </w:rPr>
        <w:t>What you'll build</w:t>
      </w:r>
    </w:p>
    <w:p>
      <w:r>
        <w:t>The completed lab worksheet for this activity.   (Tools: Lab worksheet, ITIL 4 Foundation slides, Learner Guide.)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Work through labs/lab-08 in your group, completing every step and table.</w:t>
      </w:r>
    </w:p>
    <w:p>
      <w:r>
        <w:rPr>
          <w:b/>
          <w:color w:val="1F6FEB"/>
          <w:sz w:val="22"/>
        </w:rPr>
        <w:t>Test it</w:t>
      </w:r>
    </w:p>
    <w:p>
      <w:r>
        <w:t>Your group has completed the BrightDesk improvement case and reviewed its answers to the exam-style questions across all five topics.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labs/lab-08-*.md. Work the labs with your group on the shared BrightDesk Services scenario.</w:t>
      </w:r>
    </w:p>
    <w:p/>
    <w:p>
      <w:pPr>
        <w:pStyle w:val="Heading1"/>
      </w:pPr>
      <w:r>
        <w:t>Key Distinctions and Quick References</w:t>
      </w:r>
    </w:p>
    <w:p>
      <w:r>
        <w:t>Foundation-level exam questions frequently test whether you can separate closely related terms. Be able to state each difference in one sentence and give an example of each.</w:t>
      </w:r>
    </w:p>
    <w:p>
      <w:r>
        <w:rPr>
          <w:b/>
          <w:color w:val="1F6FEB"/>
          <w:sz w:val="22"/>
        </w:rPr>
        <w:t>Output vs Outcome</w:t>
      </w:r>
    </w:p>
    <w:p>
      <w:pPr>
        <w:pStyle w:val="ListBullet"/>
      </w:pPr>
      <w:r>
        <w:t>Output — a tangible or intangible deliverable of an activity (a delivered package, a completed task, a generated report).</w:t>
      </w:r>
    </w:p>
    <w:p>
      <w:pPr>
        <w:pStyle w:val="ListBullet"/>
      </w:pPr>
      <w:r>
        <w:t>Outcome — a result for a stakeholder, enabled by one or more outputs (the stakeholder can now do something they could not before).</w:t>
      </w:r>
    </w:p>
    <w:p>
      <w:pPr>
        <w:pStyle w:val="ListBullet"/>
      </w:pPr>
      <w:r>
        <w:t>Test: if you can hand it over, it is an output; if it is a change in the stakeholder's situation, it is an outcome.</w:t>
      </w:r>
    </w:p>
    <w:p>
      <w:r>
        <w:rPr>
          <w:b/>
          <w:color w:val="1F6FEB"/>
          <w:sz w:val="22"/>
        </w:rPr>
        <w:t>Utility vs Warranty</w:t>
      </w:r>
    </w:p>
    <w:p>
      <w:pPr>
        <w:pStyle w:val="ListBullet"/>
      </w:pPr>
      <w:r>
        <w:t>Utility — what the service DOES; the functionality offered to meet a particular need. Fit for purpose.</w:t>
      </w:r>
    </w:p>
    <w:p>
      <w:pPr>
        <w:pStyle w:val="ListBullet"/>
      </w:pPr>
      <w:r>
        <w:t>Warranty — how the service PERFORMS; availability, capacity, reliability, security and continuity. Fit for use.</w:t>
      </w:r>
    </w:p>
    <w:p>
      <w:pPr>
        <w:pStyle w:val="ListBullet"/>
      </w:pPr>
      <w:r>
        <w:t>A service needs BOTH to deliver value: functionality that is unavailable delivers nothing.</w:t>
      </w:r>
    </w:p>
    <w:p>
      <w:r>
        <w:rPr>
          <w:b/>
          <w:color w:val="1F6FEB"/>
          <w:sz w:val="22"/>
        </w:rPr>
        <w:t>Incident vs Problem vs Known Error</w:t>
      </w:r>
    </w:p>
    <w:p>
      <w:pPr>
        <w:pStyle w:val="ListBullet"/>
      </w:pPr>
      <w:r>
        <w:t>Incident — an unplanned interruption to a service, or a reduction in the quality of a service. Restore service as quickly as possible.</w:t>
      </w:r>
    </w:p>
    <w:p>
      <w:pPr>
        <w:pStyle w:val="ListBullet"/>
      </w:pPr>
      <w:r>
        <w:t>Problem — a cause, or potential cause, of one or more incidents. Reduce likelihood and impact.</w:t>
      </w:r>
    </w:p>
    <w:p>
      <w:pPr>
        <w:pStyle w:val="ListBullet"/>
      </w:pPr>
      <w:r>
        <w:t>Known error — a problem that has been analysed and has not been resolved. Often managed with a workaround.</w:t>
      </w:r>
    </w:p>
    <w:p>
      <w:pPr>
        <w:pStyle w:val="ListBullet"/>
      </w:pPr>
      <w:r>
        <w:t>Workaround — a solution that reduces or eliminates the impact of an incident or problem for which a full resolution is not yet available.</w:t>
      </w:r>
    </w:p>
    <w:p>
      <w:r>
        <w:rPr>
          <w:b/>
          <w:color w:val="1F6FEB"/>
          <w:sz w:val="22"/>
        </w:rPr>
        <w:t>Service Request vs Incident</w:t>
      </w:r>
    </w:p>
    <w:p>
      <w:pPr>
        <w:pStyle w:val="ListBullet"/>
      </w:pPr>
      <w:r>
        <w:t>Service request — a request from a user or their authorised representative that initiates a normal, pre-defined service action.</w:t>
      </w:r>
    </w:p>
    <w:p>
      <w:pPr>
        <w:pStyle w:val="ListBullet"/>
      </w:pPr>
      <w:r>
        <w:t>Incident — something is broken or degraded that should not be.</w:t>
      </w:r>
    </w:p>
    <w:p>
      <w:pPr>
        <w:pStyle w:val="ListBullet"/>
      </w:pPr>
      <w:r>
        <w:t>Test: was the service working as designed? If yes and the user simply wants something, it is a service request.</w:t>
      </w:r>
    </w:p>
    <w:p>
      <w:r>
        <w:rPr>
          <w:b/>
          <w:color w:val="1F6FEB"/>
          <w:sz w:val="22"/>
        </w:rPr>
        <w:t>Quick Reference — The Seven Guiding Principles</w:t>
      </w:r>
    </w:p>
    <w:p>
      <w:pPr>
        <w:pStyle w:val="ListBullet"/>
      </w:pPr>
      <w:r>
        <w:t>Focus on value — everything links back, directly or indirectly, to value for the organisation, its customers and its stakeholders.</w:t>
      </w:r>
    </w:p>
    <w:p>
      <w:pPr>
        <w:pStyle w:val="ListBullet"/>
      </w:pPr>
      <w:r>
        <w:t>Start where you are — assess and reuse what already exists rather than discarding it and rebuilding.</w:t>
      </w:r>
    </w:p>
    <w:p>
      <w:pPr>
        <w:pStyle w:val="ListBullet"/>
      </w:pPr>
      <w:r>
        <w:t>Progress iteratively with feedback — organise work into smaller sections, using feedback at each iteration.</w:t>
      </w:r>
    </w:p>
    <w:p>
      <w:pPr>
        <w:pStyle w:val="ListBullet"/>
      </w:pPr>
      <w:r>
        <w:t>Collaborate and promote visibility — involve the right people in the right roles; make work visible.</w:t>
      </w:r>
    </w:p>
    <w:p>
      <w:pPr>
        <w:pStyle w:val="ListBullet"/>
      </w:pPr>
      <w:r>
        <w:t>Think and work holistically — no service, practice, process, department or supplier stands alone.</w:t>
      </w:r>
    </w:p>
    <w:p>
      <w:pPr>
        <w:pStyle w:val="ListBullet"/>
      </w:pPr>
      <w:r>
        <w:t>Keep it simple and practical — use the minimum number of steps to accomplish an objective.</w:t>
      </w:r>
    </w:p>
    <w:p>
      <w:pPr>
        <w:pStyle w:val="ListBullet"/>
      </w:pPr>
      <w:r>
        <w:t>Optimize and automate — optimize the process first, then automate; never automate a broken process.</w:t>
      </w:r>
    </w:p>
    <w:p>
      <w:r>
        <w:rPr>
          <w:b/>
          <w:color w:val="1F6FEB"/>
          <w:sz w:val="22"/>
        </w:rPr>
        <w:t>Quick Reference — The Six Service Value Chain Activities</w:t>
      </w:r>
    </w:p>
    <w:p>
      <w:pPr>
        <w:pStyle w:val="ListBullet"/>
      </w:pPr>
      <w:r>
        <w:t>Plan — ensures a shared understanding of the vision, current status and improvement direction.</w:t>
      </w:r>
    </w:p>
    <w:p>
      <w:pPr>
        <w:pStyle w:val="ListBullet"/>
      </w:pPr>
      <w:r>
        <w:t>Improve — ensures continual improvement of products, services and practices across all value chain activities.</w:t>
      </w:r>
    </w:p>
    <w:p>
      <w:pPr>
        <w:pStyle w:val="ListBullet"/>
      </w:pPr>
      <w:r>
        <w:t>Engage — provides a good understanding of stakeholder needs, transparency and continual engagement.</w:t>
      </w:r>
    </w:p>
    <w:p>
      <w:pPr>
        <w:pStyle w:val="ListBullet"/>
      </w:pPr>
      <w:r>
        <w:t>Design and transition — ensures products and services continually meet stakeholder expectations for quality, cost and time to market.</w:t>
      </w:r>
    </w:p>
    <w:p>
      <w:pPr>
        <w:pStyle w:val="ListBullet"/>
      </w:pPr>
      <w:r>
        <w:t>Obtain/build — ensures service components are available when and where needed, and meet agreed specifications.</w:t>
      </w:r>
    </w:p>
    <w:p>
      <w:pPr>
        <w:pStyle w:val="ListBullet"/>
      </w:pPr>
      <w:r>
        <w:t>Deliver and support — ensures services are delivered and supported according to agreed specifications and stakeholder expectations.</w:t>
      </w:r>
    </w:p>
    <w:p/>
    <w:p>
      <w:pPr>
        <w:pStyle w:val="Heading1"/>
      </w:pPr>
      <w:r>
        <w:t>Next Steps</w:t>
      </w:r>
    </w:p>
    <w:p>
      <w:pPr>
        <w:pStyle w:val="ListBullet"/>
      </w:pPr>
      <w:r>
        <w:t>Book your ITIL 4 Foundation exam using the voucher included with this course while the material is fresh.</w:t>
      </w:r>
    </w:p>
    <w:p>
      <w:pPr>
        <w:pStyle w:val="ListBullet"/>
      </w:pPr>
      <w:r>
        <w:t>Review the key concepts and definitions in each topic of this guide — many exam questions hinge on exact definitions.</w:t>
      </w:r>
    </w:p>
    <w:p>
      <w:pPr>
        <w:pStyle w:val="ListBullet"/>
      </w:pPr>
      <w:r>
        <w:t>Re-read the seven guiding principles and be able to apply each to a written scenario.</w:t>
      </w:r>
    </w:p>
    <w:p>
      <w:pPr>
        <w:pStyle w:val="ListBullet"/>
      </w:pPr>
      <w:r>
        <w:t>Memorise the purpose statements of the ITIL practices covered in Topic 5.</w:t>
      </w:r>
    </w:p>
    <w:p>
      <w:pPr>
        <w:pStyle w:val="ListBullet"/>
      </w:pPr>
      <w:r>
        <w:t>Attempt the practice exam and review every explanation: https://exams.tertiaryinfotech.com/practice-exams/axelos/axelos-itil4-foundation</w:t>
      </w:r>
    </w:p>
    <w:p>
      <w:pPr>
        <w:pStyle w:val="ListBullet"/>
      </w:pPr>
      <w:r>
        <w:t>Revisit any topic whose questions you miss, then re-take the practice exam.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Service — </w:t>
      </w:r>
      <w:r>
        <w:t>A means of enabling value co-creation by facilitating outcomes that customers want to achieve, without the customer having to manage specific costs and risks.</w:t>
      </w:r>
    </w:p>
    <w:p>
      <w:pPr>
        <w:pStyle w:val="ListBullet"/>
      </w:pPr>
      <w:r>
        <w:rPr>
          <w:b/>
        </w:rPr>
        <w:t xml:space="preserve">Service management — </w:t>
      </w:r>
      <w:r>
        <w:t>A set of specialised organisational capabilities for enabling value to customers in the form of services.</w:t>
      </w:r>
    </w:p>
    <w:p>
      <w:pPr>
        <w:pStyle w:val="ListBullet"/>
      </w:pPr>
      <w:r>
        <w:rPr>
          <w:b/>
        </w:rPr>
        <w:t xml:space="preserve">Value — </w:t>
      </w:r>
      <w:r>
        <w:t>The perceived benefits, usefulness and importance of something.</w:t>
      </w:r>
    </w:p>
    <w:p>
      <w:pPr>
        <w:pStyle w:val="ListBullet"/>
      </w:pPr>
      <w:r>
        <w:rPr>
          <w:b/>
        </w:rPr>
        <w:t xml:space="preserve">Value co-creation — </w:t>
      </w:r>
      <w:r>
        <w:t>Value is created jointly by the provider and the consumer through an active service relationship — not delivered one way.</w:t>
      </w:r>
    </w:p>
    <w:p>
      <w:pPr>
        <w:pStyle w:val="ListBullet"/>
      </w:pPr>
      <w:r>
        <w:rPr>
          <w:b/>
        </w:rPr>
        <w:t xml:space="preserve">Output — </w:t>
      </w:r>
      <w:r>
        <w:t>A tangible or intangible deliverable of an activity.</w:t>
      </w:r>
    </w:p>
    <w:p>
      <w:pPr>
        <w:pStyle w:val="ListBullet"/>
      </w:pPr>
      <w:r>
        <w:rPr>
          <w:b/>
        </w:rPr>
        <w:t xml:space="preserve">Outcome — </w:t>
      </w:r>
      <w:r>
        <w:t>A result for a stakeholder, enabled by one or more outputs.</w:t>
      </w:r>
    </w:p>
    <w:p>
      <w:pPr>
        <w:pStyle w:val="ListBullet"/>
      </w:pPr>
      <w:r>
        <w:rPr>
          <w:b/>
        </w:rPr>
        <w:t xml:space="preserve">Utility — </w:t>
      </w:r>
      <w:r>
        <w:t>The functionality offered by a product or service to meet a particular need — 'fit for purpose'.</w:t>
      </w:r>
    </w:p>
    <w:p>
      <w:pPr>
        <w:pStyle w:val="ListBullet"/>
      </w:pPr>
      <w:r>
        <w:rPr>
          <w:b/>
        </w:rPr>
        <w:t xml:space="preserve">Warranty — </w:t>
      </w:r>
      <w:r>
        <w:t>Assurance that a product or service will meet agreed requirements — 'fit for use'.</w:t>
      </w:r>
    </w:p>
    <w:p>
      <w:pPr>
        <w:pStyle w:val="ListBullet"/>
      </w:pPr>
      <w:r>
        <w:rPr>
          <w:b/>
        </w:rPr>
        <w:t xml:space="preserve">Service offering — </w:t>
      </w:r>
      <w:r>
        <w:t>A formal description of one or more services, designed to address the needs of a target consumer group; may include goods, access to resources and service actions.</w:t>
      </w:r>
    </w:p>
    <w:p>
      <w:pPr>
        <w:pStyle w:val="ListBullet"/>
      </w:pPr>
      <w:r>
        <w:rPr>
          <w:b/>
        </w:rPr>
        <w:t xml:space="preserve">Service relationship — </w:t>
      </w:r>
      <w:r>
        <w:t>A cooperation between a service provider and a service consumer to co-create value.</w:t>
      </w:r>
    </w:p>
    <w:p>
      <w:pPr>
        <w:pStyle w:val="ListBullet"/>
      </w:pPr>
      <w:r>
        <w:rPr>
          <w:b/>
        </w:rPr>
        <w:t xml:space="preserve">Customer / User / Sponsor — </w:t>
      </w:r>
      <w:r>
        <w:t>The consumer roles: the customer defines requirements and owns the outcomes; the user uses the service; the sponsor authorises the budget.</w:t>
      </w:r>
    </w:p>
    <w:p>
      <w:pPr>
        <w:pStyle w:val="ListBullet"/>
      </w:pPr>
      <w:r>
        <w:rPr>
          <w:b/>
        </w:rPr>
        <w:t xml:space="preserve">Service value system (SVS) — </w:t>
      </w:r>
      <w:r>
        <w:t>How all the components and activities of the organisation work together as a system to enable value creation.</w:t>
      </w:r>
    </w:p>
    <w:p>
      <w:pPr>
        <w:pStyle w:val="ListBullet"/>
      </w:pPr>
      <w:r>
        <w:rPr>
          <w:b/>
        </w:rPr>
        <w:t xml:space="preserve">Service value chain — </w:t>
      </w:r>
      <w:r>
        <w:t>The set of six interconnected activities an organisation performs to deliver a valuable product or service.</w:t>
      </w:r>
    </w:p>
    <w:p>
      <w:pPr>
        <w:pStyle w:val="ListBullet"/>
      </w:pPr>
      <w:r>
        <w:rPr>
          <w:b/>
        </w:rPr>
        <w:t xml:space="preserve">Practice — </w:t>
      </w:r>
      <w:r>
        <w:t>A set of organisational resources designed for performing work or accomplishing an objective. ITIL 4 defines 34 practices.</w:t>
      </w:r>
    </w:p>
    <w:p>
      <w:pPr>
        <w:pStyle w:val="ListBullet"/>
      </w:pPr>
      <w:r>
        <w:rPr>
          <w:b/>
        </w:rPr>
        <w:t xml:space="preserve">Guiding principle — </w:t>
      </w:r>
      <w:r>
        <w:t>A recommendation that guides an organisation in all circumstances, regardless of changes in goals, strategies or type of work.</w:t>
      </w:r>
    </w:p>
    <w:p>
      <w:pPr>
        <w:pStyle w:val="ListBullet"/>
      </w:pPr>
      <w:r>
        <w:rPr>
          <w:b/>
        </w:rPr>
        <w:t xml:space="preserve">Continual improvement — </w:t>
      </w:r>
      <w:r>
        <w:t>A recurring organisational activity performed at all levels to ensure performance continually meets stakeholder expectations.</w:t>
      </w:r>
    </w:p>
    <w:p>
      <w:pPr>
        <w:pStyle w:val="ListBullet"/>
      </w:pPr>
      <w:r>
        <w:rPr>
          <w:b/>
        </w:rPr>
        <w:t xml:space="preserve">Incident — </w:t>
      </w:r>
      <w:r>
        <w:t>An unplanned interruption to a service, or a reduction in the quality of a service.</w:t>
      </w:r>
    </w:p>
    <w:p>
      <w:pPr>
        <w:pStyle w:val="ListBullet"/>
      </w:pPr>
      <w:r>
        <w:rPr>
          <w:b/>
        </w:rPr>
        <w:t xml:space="preserve">Problem — </w:t>
      </w:r>
      <w:r>
        <w:t>A cause, or potential cause, of one or more incidents.</w:t>
      </w:r>
    </w:p>
    <w:p>
      <w:pPr>
        <w:pStyle w:val="ListBullet"/>
      </w:pPr>
      <w:r>
        <w:rPr>
          <w:b/>
        </w:rPr>
        <w:t xml:space="preserve">Known error — </w:t>
      </w:r>
      <w:r>
        <w:t>A problem that has been analysed and has not been resolved.</w:t>
      </w:r>
    </w:p>
    <w:p>
      <w:pPr>
        <w:pStyle w:val="ListBullet"/>
      </w:pPr>
      <w:r>
        <w:rPr>
          <w:b/>
        </w:rPr>
        <w:t xml:space="preserve">Workaround — </w:t>
      </w:r>
      <w:r>
        <w:t>A solution that reduces or eliminates the impact of an incident or problem for which a full resolution is not yet available.</w:t>
      </w:r>
    </w:p>
    <w:p>
      <w:pPr>
        <w:pStyle w:val="ListBullet"/>
      </w:pPr>
      <w:r>
        <w:rPr>
          <w:b/>
        </w:rPr>
        <w:t xml:space="preserve">Service request — </w:t>
      </w:r>
      <w:r>
        <w:t>A request from a user or a user's authorised representative that initiates a normal, pre-defined service action.</w:t>
      </w:r>
    </w:p>
    <w:p>
      <w:pPr>
        <w:pStyle w:val="ListBullet"/>
      </w:pPr>
      <w:r>
        <w:rPr>
          <w:b/>
        </w:rPr>
        <w:t xml:space="preserve">Change — </w:t>
      </w:r>
      <w:r>
        <w:t>The addition, modification or removal of anything that could have a direct or indirect effect on services.</w:t>
      </w:r>
    </w:p>
    <w:p>
      <w:pPr>
        <w:pStyle w:val="ListBullet"/>
      </w:pPr>
      <w:r>
        <w:rPr>
          <w:b/>
        </w:rPr>
        <w:t xml:space="preserve">Change authority — </w:t>
      </w:r>
      <w:r>
        <w:t>The person or group who authorises a change.</w:t>
      </w:r>
    </w:p>
    <w:p>
      <w:pPr>
        <w:pStyle w:val="ListBullet"/>
      </w:pPr>
      <w:r>
        <w:rPr>
          <w:b/>
        </w:rPr>
        <w:t xml:space="preserve">Configuration item (CI) — </w:t>
      </w:r>
      <w:r>
        <w:t>Any component that needs to be managed in order to deliver an IT service.</w:t>
      </w:r>
    </w:p>
    <w:p>
      <w:pPr>
        <w:pStyle w:val="ListBullet"/>
      </w:pPr>
      <w:r>
        <w:rPr>
          <w:b/>
        </w:rPr>
        <w:t xml:space="preserve">Service level agreement (SLA) — </w:t>
      </w:r>
      <w:r>
        <w:t>A documented agreement between a service provider and a customer identifying both the services required and the expected level of service.</w:t>
      </w:r>
    </w:p>
    <w:p>
      <w:pPr>
        <w:pStyle w:val="ListBullet"/>
      </w:pPr>
      <w:r>
        <w:rPr>
          <w:b/>
        </w:rPr>
        <w:t xml:space="preserve">Event — </w:t>
      </w:r>
      <w:r>
        <w:t>Any change of state that has significance for the management of a service or other configuration item.</w:t>
      </w:r>
    </w:p>
    <w:p>
      <w:pPr>
        <w:pStyle w:val="ListBullet"/>
      </w:pPr>
      <w:r>
        <w:rPr>
          <w:b/>
        </w:rPr>
        <w:t xml:space="preserve">Four dimensions — </w:t>
      </w:r>
      <w:r>
        <w:t>Organizations and people; information and technology; partners and suppliers; value streams and processes.</w:t>
      </w:r>
    </w:p>
    <w:p>
      <w:pPr>
        <w:pStyle w:val="ListBullet"/>
      </w:pPr>
      <w:r>
        <w:rPr>
          <w:b/>
        </w:rPr>
        <w:t xml:space="preserve">PESTLE — </w:t>
      </w:r>
      <w:r>
        <w:t>Political, economic, social, technological, legal and environmental — the external factors that constrain an organisation.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