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Cyber Security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C434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of AI for Cyber Security (C434): two-day 9:30am–5:30pm lesson plan covering all four topics and twelve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F6FEB"/>
          <w:sz w:val="24"/>
        </w:rPr>
        <w:t>TABLE OF CONTENTS</w:t>
      </w:r>
    </w:p>
    <w:p>
      <w:pPr>
        <w:spacing w:after="0"/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Course Overview</w:t>
      </w:r>
      <w:r>
        <w:rPr>
          <w:rFonts w:ascii="Arial" w:hAnsi="Arial"/>
          <w:color w:val="5B6372"/>
          <w:sz w:val="17"/>
        </w:rPr>
        <w:t xml:space="preserve">  ·  delivery model and learning outcomes</w:t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Daily Schedule  ·  two days · 15 hours</w:t>
      </w:r>
      <w:r>
        <w:rPr>
          <w:rFonts w:ascii="Arial" w:hAnsi="Arial"/>
          <w:color w:val="5B6372"/>
          <w:sz w:val="17"/>
        </w:rPr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Topic-by-Topic Breakdown</w:t>
      </w:r>
      <w:r>
        <w:rPr>
          <w:rFonts w:ascii="Arial" w:hAnsi="Arial"/>
          <w:color w:val="5B6372"/>
          <w:sz w:val="17"/>
        </w:rPr>
        <w:t xml:space="preserve">  ·  slide and lab mappings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Topic 1: AI-Assisted Security Risk, Threat and Control-Gap Analysis</w:t>
      </w:r>
      <w:r>
        <w:rPr>
          <w:rFonts w:ascii="Arial" w:hAnsi="Arial"/>
          <w:color w:val="5B6372"/>
          <w:sz w:val="17"/>
        </w:rPr>
        <w:t xml:space="preserve">  ·  LO1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Topic 2: Designing AI-Powered Cybersecurity Programmes</w:t>
      </w:r>
      <w:r>
        <w:rPr>
          <w:rFonts w:ascii="Arial" w:hAnsi="Arial"/>
          <w:color w:val="5B6372"/>
          <w:sz w:val="17"/>
        </w:rPr>
        <w:t xml:space="preserve">  ·  LO2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Topic 3: Developing AI-Driven Security Architecture and Action Plans</w:t>
      </w:r>
      <w:r>
        <w:rPr>
          <w:rFonts w:ascii="Arial" w:hAnsi="Arial"/>
          <w:color w:val="5B6372"/>
          <w:sz w:val="17"/>
        </w:rPr>
        <w:t xml:space="preserve">  ·  LO3</w:t>
      </w:r>
    </w:p>
    <w:p>
      <w:pPr>
        <w:spacing w:after="20"/>
        <w:ind w:left="360"/>
      </w:pPr>
      <w:r>
        <w:rPr>
          <w:rFonts w:ascii="Arial" w:hAnsi="Arial"/>
          <w:b/>
          <w:color w:val="161B26"/>
          <w:sz w:val="18"/>
        </w:rPr>
        <w:t>Topic 4: Monitoring, Evaluating and Governing AI Security Solutions</w:t>
      </w:r>
      <w:r>
        <w:rPr>
          <w:rFonts w:ascii="Arial" w:hAnsi="Arial"/>
          <w:color w:val="5B6372"/>
          <w:sz w:val="17"/>
        </w:rPr>
        <w:t xml:space="preserve">  ·  LO4</w:t>
      </w:r>
    </w:p>
    <w:p>
      <w:pPr>
        <w:spacing w:after="20"/>
        <w:ind w:left="0"/>
      </w:pPr>
      <w:r>
        <w:rPr>
          <w:rFonts w:ascii="Arial" w:hAnsi="Arial"/>
          <w:b/>
          <w:color w:val="161B26"/>
          <w:sz w:val="20"/>
        </w:rPr>
        <w:t>Resources Required</w:t>
      </w:r>
      <w:r>
        <w:rPr>
          <w:rFonts w:ascii="Arial" w:hAnsi="Arial"/>
          <w:color w:val="5B6372"/>
          <w:sz w:val="17"/>
        </w:rPr>
        <w:t xml:space="preserve">  ·  delivery environment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AI for Cyber Security is a two-day, 15-hour course (9:30am – 5:30pm daily). It combines 7 classroom hours and 8 hands-on practical hours.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Identify security risks, threats, and assess gaps in controls impacting business processes.</w:t>
      </w:r>
    </w:p>
    <w:p>
      <w:pPr>
        <w:pStyle w:val="ListBullet"/>
      </w:pPr>
      <w:r>
        <w:t>LO2: Translate security objectives into specific programmes considering security programme design techniques.</w:t>
      </w:r>
    </w:p>
    <w:p>
      <w:pPr>
        <w:pStyle w:val="ListBullet"/>
      </w:pPr>
      <w:r>
        <w:t>LO3: Develop a detailed action plan for security programmes in line with information security architectures.</w:t>
      </w:r>
    </w:p>
    <w:p>
      <w:pPr>
        <w:pStyle w:val="ListBullet"/>
      </w:pPr>
      <w:r>
        <w:t>LO4: Deliver advice for adoption of security architectures, monitoring their effectiveness against standards.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· 9:30am – 5:30pm: Risk, detection and AI security programme design (Topics 1–2)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4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037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96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4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27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9:30-9:45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Welcome, introductions, ground rules and course orientation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1-11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9:45-11:15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Topic 1 mechanism, contracts, failure, control and evidence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12-101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11:15-12:30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75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Labs 1-2 guided practice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102-105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12:30-13:00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13:00-13:45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45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Labs 3-4 guided practice and evidence review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106-109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13:45-15:15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Topic 2 mechanism, contracts, failure, control and evidence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110-199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15:15-17:15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120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Labs 5-7 guided practice and evidence review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200-205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17:15-17:30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Day 1 recap and Q&amp;A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12-205</w:t>
            </w:r>
          </w:p>
        </w:tc>
      </w:tr>
    </w:tbl>
    <w:p>
      <w:r>
        <w:t>Day total: 7.5 instructional hours (9:30am – 5:30pm), with a 30-minute lunch break.</w:t>
      </w:r>
    </w:p>
    <w:p>
      <w:pPr>
        <w:pStyle w:val="Heading2"/>
      </w:pPr>
      <w:r>
        <w:t>Day 2 · 9:30am – 5:30pm: Architecture, guarded response, monitoring and governance (Topics 3–4)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4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037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396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Topic / Activity</w:t>
            </w:r>
          </w:p>
        </w:tc>
        <w:tc>
          <w:tcPr>
            <w:tcW w:type="dxa" w:w="14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627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Slides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9:30-9:45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15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Day 1 recap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12-205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9:45-11:15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Topic 3 mechanism, contracts, failure, control and evidence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206-294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11:15-12:30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75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Labs 8-9 guided practice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295-298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12:30-13:00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Lunch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Break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13:00-14:15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75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Labs 10-11 guided practice and evidence review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299-302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14:15-15:30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75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Topic 4 metrics, drift, adversarial testing and standards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303-391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15:30-17:00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90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Lab 12 monitoring and advisory report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392-393</w:t>
            </w:r>
          </w:p>
        </w:tc>
      </w:tr>
      <w:tr>
        <w:trPr>
          <w:cantSplit/>
        </w:trPr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17:00-17:30</w:t>
            </w:r>
          </w:p>
        </w:tc>
        <w:tc>
          <w:tcPr>
            <w:tcW w:type="dxa" w:w="1037"/>
            <w:vAlign w:val="top"/>
          </w:tcPr>
          <w:p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Arial" w:hAnsi="Arial"/>
                <w:sz w:val="18"/>
              </w:rPr>
              <w:t>Governance advice, course synthesis, Q&amp;A and course feedback</w:t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sz w:val="18"/>
              </w:rPr>
              <w:t>Classroom</w:t>
            </w:r>
          </w:p>
        </w:tc>
        <w:tc>
          <w:tcPr>
            <w:tcW w:type="dxa" w:w="1627"/>
            <w:vAlign w:val="top"/>
          </w:tcPr>
          <w:p>
            <w:r>
              <w:rPr>
                <w:rFonts w:ascii="Arial" w:hAnsi="Arial"/>
                <w:sz w:val="18"/>
              </w:rPr>
              <w:t>Slides 394-399</w:t>
            </w:r>
          </w:p>
        </w:tc>
      </w:tr>
    </w:tbl>
    <w:p>
      <w:r>
        <w:t>Day total: 7.5 instructional hours (9:30am – 5:30pm), with a 30-minute lunch break.</w:t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AI-Assisted Security Risk, Threat and Control-Gap Analysis · Slides 12-109</w:t>
      </w:r>
    </w:p>
    <w:p>
      <w:r>
        <w:t>Alignment: LO1. Telemetry contracts · detection models · business impact · analyst evidence</w:t>
      </w:r>
    </w:p>
    <w:p>
      <w:pPr>
        <w:pStyle w:val="Heading3"/>
      </w:pPr>
      <w:r>
        <w:t>Lab 1: Build an AI-Assisted Cyber Risk Register · Slides 102-103</w:t>
      </w:r>
    </w:p>
    <w:p>
      <w:r>
        <w:t>Join asset criticality, threat likelihood, control effectiveness and evidence into a transparent residual-risk ranking.</w:t>
      </w:r>
    </w:p>
    <w:p>
      <w:pPr>
        <w:pStyle w:val="Heading3"/>
      </w:pPr>
      <w:r>
        <w:t>Lab 2: Detect Authentication Anomalies · Slides 104-105</w:t>
      </w:r>
    </w:p>
    <w:p>
      <w:r>
        <w:t>Create a peer-aware anomaly score from failed logins, new-device state and impossible-travel indicators.</w:t>
      </w:r>
    </w:p>
    <w:p>
      <w:pPr>
        <w:pStyle w:val="Heading3"/>
      </w:pPr>
      <w:r>
        <w:t>Lab 3: Explain a Phishing Risk Score · Slides 106-107</w:t>
      </w:r>
    </w:p>
    <w:p>
      <w:r>
        <w:t>Combine email authentication, reply-to mismatch, URL and language features into an explainable phishing triage score.</w:t>
      </w:r>
    </w:p>
    <w:p>
      <w:pPr>
        <w:pStyle w:val="Heading3"/>
      </w:pPr>
      <w:r>
        <w:t>Lab 4: Prioritise Vulnerabilities with Context · Slides 108-109</w:t>
      </w:r>
    </w:p>
    <w:p>
      <w:r>
        <w:t>Rank vulnerabilities using severity, exploit likelihood, exposure, asset criticality and compensating controls.</w:t>
      </w:r>
    </w:p>
    <w:p>
      <w:pPr>
        <w:pStyle w:val="Heading2"/>
      </w:pPr>
      <w:r>
        <w:t>Topic 2: Designing AI-Powered Cybersecurity Programmes · Slides 110-205</w:t>
      </w:r>
    </w:p>
    <w:p>
      <w:r>
        <w:t>Alignment: LO2. Objectives · use-case selection · governance · human oversight · operating model</w:t>
      </w:r>
    </w:p>
    <w:p>
      <w:pPr>
        <w:pStyle w:val="Heading3"/>
      </w:pPr>
      <w:r>
        <w:t>Lab 5: Select and Scope an AI Security Use Case · Slides 200-201</w:t>
      </w:r>
    </w:p>
    <w:p>
      <w:r>
        <w:t>Score candidate use cases on value, data readiness, integration effort, operating risk and human-oversight requirements.</w:t>
      </w:r>
    </w:p>
    <w:p>
      <w:pPr>
        <w:pStyle w:val="Heading3"/>
      </w:pPr>
      <w:r>
        <w:t>Lab 6: Threat-Model an AI SOC Assistant · Slides 202-203</w:t>
      </w:r>
    </w:p>
    <w:p>
      <w:r>
        <w:t>Map assets, trust boundaries and AI-specific abuse cases, then turn them into programme guardrails.</w:t>
      </w:r>
    </w:p>
    <w:p>
      <w:pPr>
        <w:pStyle w:val="Heading3"/>
      </w:pPr>
      <w:r>
        <w:t>Lab 7: Build the AI Security Programme Charter · Slides 204-205</w:t>
      </w:r>
    </w:p>
    <w:p>
      <w:r>
        <w:t>Translate assessed control gaps into governed programme epics, metrics, owners and decision gates.</w:t>
      </w:r>
    </w:p>
    <w:p>
      <w:pPr>
        <w:pStyle w:val="Heading2"/>
      </w:pPr>
      <w:r>
        <w:t>Topic 3: Developing AI-Driven Security Architecture and Action Plans · Slides 206-302</w:t>
      </w:r>
    </w:p>
    <w:p>
      <w:r>
        <w:t>Alignment: LO3. SOC architecture · data pipeline · guarded automation · delivery roadmap</w:t>
      </w:r>
    </w:p>
    <w:p>
      <w:pPr>
        <w:pStyle w:val="Heading3"/>
      </w:pPr>
      <w:r>
        <w:t>Lab 8: Design an AI-Enhanced SOC Architecture · Slides 295-296</w:t>
      </w:r>
    </w:p>
    <w:p>
      <w:r>
        <w:t>Design a layered architecture that separates evidence, inference, case management and guarded action.</w:t>
      </w:r>
    </w:p>
    <w:p>
      <w:pPr>
        <w:pStyle w:val="Heading3"/>
      </w:pPr>
      <w:r>
        <w:t>Lab 9: Build a Grounded Threat-Intelligence Assistant · Slides 297-298</w:t>
      </w:r>
    </w:p>
    <w:p>
      <w:r>
        <w:t>Retrieve from approved threat bulletins and produce cited, abstaining summaries without external APIs.</w:t>
      </w:r>
    </w:p>
    <w:p>
      <w:pPr>
        <w:pStyle w:val="Heading3"/>
      </w:pPr>
      <w:r>
        <w:t>Lab 10: Design a Guarded SOAR Playbook · Slides 299-300</w:t>
      </w:r>
    </w:p>
    <w:p>
      <w:r>
        <w:t>Build a reversible, approval-gated response playbook for suspicious account activity.</w:t>
      </w:r>
    </w:p>
    <w:p>
      <w:pPr>
        <w:pStyle w:val="Heading3"/>
      </w:pPr>
      <w:r>
        <w:t>Lab 11: Create a 90-Day AI Security Action Plan · Slides 301-302</w:t>
      </w:r>
    </w:p>
    <w:p>
      <w:r>
        <w:t>Sequence architecture work packages, dependencies, acceptance evidence and regulatory review triggers.</w:t>
      </w:r>
    </w:p>
    <w:p>
      <w:pPr>
        <w:pStyle w:val="Heading2"/>
      </w:pPr>
      <w:r>
        <w:t>Topic 4: Monitoring, Evaluating and Governing AI Security Solutions · Slides 303-393</w:t>
      </w:r>
    </w:p>
    <w:p>
      <w:r>
        <w:t>Alignment: LO4. Metrics · drift · adversarial testing · standards · advisory reporting</w:t>
      </w:r>
    </w:p>
    <w:p>
      <w:pPr>
        <w:pStyle w:val="Heading3"/>
      </w:pPr>
      <w:r>
        <w:t>Lab 12: Monitor Model Effectiveness and Produce Advice · Slides 392-393</w:t>
      </w:r>
    </w:p>
    <w:p>
      <w:r>
        <w:t>Measure detection quality, identify drift and control failures, then issue evidence-backed adoption advice.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Windows or macOS laptop with Python 3</w:t>
      </w:r>
    </w:p>
    <w:p>
      <w:pPr>
        <w:pStyle w:val="ListBullet"/>
      </w:pPr>
      <w:r>
        <w:t>Local virtual environment and lab requirements.txt</w:t>
      </w:r>
    </w:p>
    <w:p>
      <w:pPr>
        <w:pStyle w:val="ListBullet"/>
      </w:pPr>
      <w:r>
        <w:t>Current browser for the supplied cybersecurity simulations</w:t>
      </w:r>
    </w:p>
    <w:p>
      <w:pPr>
        <w:pStyle w:val="ListBullet"/>
      </w:pPr>
      <w:r>
        <w:t>Optional isolated trainer-owned Kali VM; never target unrelated live systems</w:t>
      </w:r>
    </w:p>
    <w:p>
      <w:pPr>
        <w:pStyle w:val="ListBullet"/>
      </w:pPr>
      <w:r>
        <w:t>Course LMS/TMS access</w:t>
      </w:r>
    </w:p>
    <w:p>
      <w:pPr>
        <w:pStyle w:val="ListBullet"/>
      </w:pPr>
      <w:r>
        <w:t>Individual synthetic and mock-data bundles supplied; no production data required</w:t>
      </w:r>
    </w:p>
    <w:p>
      <w:pPr>
        <w:pStyle w:val="ListBullet"/>
      </w:pPr>
      <w:r>
        <w:t>Projector and Internet access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