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drawing>
          <wp:inline xmlns:a="http://schemas.openxmlformats.org/drawingml/2006/main" xmlns:pic="http://schemas.openxmlformats.org/drawingml/2006/picture">
            <wp:extent cx="2194560" cy="219456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11"/>
                    <a:stretch>
                      <a:fillRect/>
                    </a:stretch>
                  </pic:blipFill>
                  <pic:spPr>
                    <a:xfrm>
                      <a:off x="0" y="0"/>
                      <a:ext cx="2194560" cy="2194560"/>
                    </a:xfrm>
                    <a:prstGeom prst="rect"/>
                  </pic:spPr>
                </pic:pic>
              </a:graphicData>
            </a:graphic>
          </wp:inline>
        </w:drawing>
      </w:r>
    </w:p>
    <w:p>
      <w:pPr>
        <w:spacing w:before="960"/>
        <w:jc w:val="center"/>
      </w:pPr>
      <w:r>
        <w:rPr>
          <w:rFonts w:ascii="Aptos" w:hAnsi="Aptos"/>
          <w:b/>
          <w:color w:val="0E7C86"/>
          <w:sz w:val="22"/>
        </w:rPr>
        <w:t>LEARNER GUIDE</w:t>
      </w:r>
    </w:p>
    <w:p>
      <w:pPr>
        <w:spacing w:before="160"/>
        <w:jc w:val="center"/>
      </w:pPr>
      <w:r>
        <w:rPr>
          <w:rFonts w:ascii="Aptos Display" w:hAnsi="Aptos Display"/>
          <w:b/>
          <w:color w:val="10243E"/>
          <w:sz w:val="56"/>
        </w:rPr>
        <w:t>Cyber Security Awareness Workshop</w:t>
      </w:r>
    </w:p>
    <w:p>
      <w:pPr>
        <w:jc w:val="center"/>
      </w:pPr>
      <w:r>
        <w:rPr>
          <w:rFonts w:ascii="Aptos" w:hAnsi="Aptos"/>
          <w:color w:val="176B87"/>
          <w:sz w:val="26"/>
        </w:rPr>
        <w:t>Recognise threats • reduce exposure • escalate with confidence</w:t>
      </w:r>
    </w:p>
    <w:p>
      <w:pPr>
        <w:spacing w:before="560"/>
        <w:jc w:val="center"/>
      </w:pPr>
      <w:r>
        <w:rPr>
          <w:rFonts w:ascii="Aptos" w:hAnsi="Aptos"/>
          <w:color w:val="5F6B7A"/>
          <w:sz w:val="22"/>
        </w:rPr>
        <w:t>Course Code: C506</w:t>
        <w:br/>
        <w:t>Version 1.0  |  1 October 2026</w:t>
      </w:r>
    </w:p>
    <w:p>
      <w:r>
        <w:br w:type="page"/>
      </w:r>
    </w:p>
    <w:p>
      <w:pPr>
        <w:pStyle w:val="Heading1"/>
      </w:pPr>
      <w:r>
        <w:t>Document control</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545"/>
            <w:vAlign w:val="center"/>
          </w:tcPr>
          <w:p>
            <w:r>
              <w:rPr>
                <w:b/>
                <w:color w:val="FFFFFF"/>
                <w:sz w:val="18"/>
              </w:rPr>
              <w:t>Field</w:t>
            </w:r>
          </w:p>
        </w:tc>
        <w:tc>
          <w:tcPr>
            <w:tcW w:type="dxa" w:w="7703"/>
            <w:shd w:fill="0B2545"/>
            <w:vAlign w:val="center"/>
          </w:tcPr>
          <w:p>
            <w:r>
              <w:rPr>
                <w:b/>
                <w:color w:val="FFFFFF"/>
                <w:sz w:val="18"/>
              </w:rPr>
              <w:t>Value</w:t>
            </w:r>
          </w:p>
        </w:tc>
      </w:tr>
      <w:tr>
        <w:trPr>
          <w:cantSplit/>
        </w:trPr>
        <w:tc>
          <w:tcPr>
            <w:tcW w:type="dxa" w:w="2232"/>
            <w:vAlign w:val="top"/>
          </w:tcPr>
          <w:p>
            <w:pPr>
              <w:spacing w:after="40"/>
            </w:pPr>
            <w:r>
              <w:rPr>
                <w:rFonts w:ascii="Aptos" w:hAnsi="Aptos"/>
                <w:color w:val="10243E"/>
                <w:sz w:val="18"/>
              </w:rPr>
              <w:t>Course</w:t>
            </w:r>
          </w:p>
        </w:tc>
        <w:tc>
          <w:tcPr>
            <w:tcW w:type="dxa" w:w="7703"/>
            <w:vAlign w:val="top"/>
          </w:tcPr>
          <w:p>
            <w:pPr>
              <w:spacing w:after="40"/>
            </w:pPr>
            <w:r>
              <w:rPr>
                <w:rFonts w:ascii="Aptos" w:hAnsi="Aptos"/>
                <w:color w:val="10243E"/>
                <w:sz w:val="18"/>
              </w:rPr>
              <w:t>Cyber Security Awareness Workshop</w:t>
            </w:r>
          </w:p>
        </w:tc>
      </w:tr>
      <w:tr>
        <w:trPr>
          <w:cantSplit/>
        </w:trPr>
        <w:tc>
          <w:tcPr>
            <w:tcW w:type="dxa" w:w="2232"/>
            <w:vAlign w:val="top"/>
          </w:tcPr>
          <w:p>
            <w:pPr>
              <w:spacing w:after="40"/>
            </w:pPr>
            <w:r>
              <w:rPr>
                <w:rFonts w:ascii="Aptos" w:hAnsi="Aptos"/>
                <w:color w:val="10243E"/>
                <w:sz w:val="18"/>
              </w:rPr>
              <w:t>Course code</w:t>
            </w:r>
          </w:p>
        </w:tc>
        <w:tc>
          <w:tcPr>
            <w:tcW w:type="dxa" w:w="7703"/>
            <w:vAlign w:val="top"/>
          </w:tcPr>
          <w:p>
            <w:pPr>
              <w:spacing w:after="40"/>
            </w:pPr>
            <w:r>
              <w:rPr>
                <w:rFonts w:ascii="Aptos" w:hAnsi="Aptos"/>
                <w:color w:val="10243E"/>
                <w:sz w:val="18"/>
              </w:rPr>
              <w:t>C506</w:t>
            </w:r>
          </w:p>
        </w:tc>
      </w:tr>
      <w:tr>
        <w:trPr>
          <w:cantSplit/>
        </w:trPr>
        <w:tc>
          <w:tcPr>
            <w:tcW w:type="dxa" w:w="2232"/>
            <w:vAlign w:val="top"/>
          </w:tcPr>
          <w:p>
            <w:pPr>
              <w:spacing w:after="40"/>
            </w:pPr>
            <w:r>
              <w:rPr>
                <w:rFonts w:ascii="Aptos" w:hAnsi="Aptos"/>
                <w:color w:val="10243E"/>
                <w:sz w:val="18"/>
              </w:rPr>
              <w:t>Version</w:t>
            </w:r>
          </w:p>
        </w:tc>
        <w:tc>
          <w:tcPr>
            <w:tcW w:type="dxa" w:w="7703"/>
            <w:vAlign w:val="top"/>
          </w:tcPr>
          <w:p>
            <w:pPr>
              <w:spacing w:after="40"/>
            </w:pPr>
            <w:r>
              <w:rPr>
                <w:rFonts w:ascii="Aptos" w:hAnsi="Aptos"/>
                <w:color w:val="10243E"/>
                <w:sz w:val="18"/>
              </w:rPr>
              <w:t>1.0</w:t>
            </w:r>
          </w:p>
        </w:tc>
      </w:tr>
      <w:tr>
        <w:trPr>
          <w:cantSplit/>
        </w:trPr>
        <w:tc>
          <w:tcPr>
            <w:tcW w:type="dxa" w:w="2232"/>
            <w:vAlign w:val="top"/>
          </w:tcPr>
          <w:p>
            <w:pPr>
              <w:spacing w:after="40"/>
            </w:pPr>
            <w:r>
              <w:rPr>
                <w:rFonts w:ascii="Aptos" w:hAnsi="Aptos"/>
                <w:color w:val="10243E"/>
                <w:sz w:val="18"/>
              </w:rPr>
              <w:t>Duration</w:t>
            </w:r>
          </w:p>
        </w:tc>
        <w:tc>
          <w:tcPr>
            <w:tcW w:type="dxa" w:w="7703"/>
            <w:vAlign w:val="top"/>
          </w:tcPr>
          <w:p>
            <w:pPr>
              <w:spacing w:after="40"/>
            </w:pPr>
            <w:r>
              <w:rPr>
                <w:rFonts w:ascii="Aptos" w:hAnsi="Aptos"/>
                <w:color w:val="10243E"/>
                <w:sz w:val="18"/>
              </w:rPr>
              <w:t>1 day, 9:30am – 5:30pm (7.5 instructional hours, 0.5 hour lunch)</w:t>
            </w:r>
          </w:p>
        </w:tc>
      </w:tr>
    </w:tbl>
    <w:p>
      <w:pPr>
        <w:pStyle w:val="Heading2"/>
      </w:pPr>
      <w:r>
        <w:t>Document Version Control Record</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007"/>
            <w:shd w:fill="0B2545"/>
            <w:vAlign w:val="center"/>
          </w:tcPr>
          <w:p>
            <w:r>
              <w:rPr>
                <w:b/>
                <w:color w:val="FFFFFF"/>
                <w:sz w:val="15"/>
              </w:rPr>
              <w:t>Version</w:t>
            </w:r>
          </w:p>
        </w:tc>
        <w:tc>
          <w:tcPr>
            <w:tcW w:type="dxa" w:w="1655"/>
            <w:shd w:fill="0B2545"/>
            <w:vAlign w:val="center"/>
          </w:tcPr>
          <w:p>
            <w:r>
              <w:rPr>
                <w:b/>
                <w:color w:val="FFFFFF"/>
                <w:sz w:val="15"/>
              </w:rPr>
              <w:t>Effective date</w:t>
            </w:r>
          </w:p>
        </w:tc>
        <w:tc>
          <w:tcPr>
            <w:tcW w:type="dxa" w:w="5832"/>
            <w:shd w:fill="0B2545"/>
            <w:vAlign w:val="center"/>
          </w:tcPr>
          <w:p>
            <w:r>
              <w:rPr>
                <w:b/>
                <w:color w:val="FFFFFF"/>
                <w:sz w:val="15"/>
              </w:rPr>
              <w:t>Summary of included changes</w:t>
            </w:r>
          </w:p>
        </w:tc>
        <w:tc>
          <w:tcPr>
            <w:tcW w:type="dxa" w:w="1584"/>
            <w:shd w:fill="0B2545"/>
            <w:vAlign w:val="center"/>
          </w:tcPr>
          <w:p>
            <w:r>
              <w:rPr>
                <w:b/>
                <w:color w:val="FFFFFF"/>
                <w:sz w:val="15"/>
              </w:rPr>
              <w:t>Author</w:t>
            </w:r>
          </w:p>
        </w:tc>
      </w:tr>
      <w:tr>
        <w:trPr>
          <w:cantSplit/>
        </w:trPr>
        <w:tc>
          <w:tcPr>
            <w:tcW w:type="dxa" w:w="1007"/>
            <w:vAlign w:val="top"/>
          </w:tcPr>
          <w:p>
            <w:pPr>
              <w:spacing w:after="40"/>
            </w:pPr>
            <w:r>
              <w:rPr>
                <w:rFonts w:ascii="Aptos" w:hAnsi="Aptos"/>
                <w:color w:val="10243E"/>
                <w:sz w:val="15"/>
              </w:rPr>
              <w:t>1.0</w:t>
            </w:r>
          </w:p>
        </w:tc>
        <w:tc>
          <w:tcPr>
            <w:tcW w:type="dxa" w:w="1655"/>
            <w:vAlign w:val="top"/>
          </w:tcPr>
          <w:p>
            <w:pPr>
              <w:spacing w:after="40"/>
            </w:pPr>
            <w:r>
              <w:rPr>
                <w:rFonts w:ascii="Aptos" w:hAnsi="Aptos"/>
                <w:color w:val="10243E"/>
                <w:sz w:val="15"/>
              </w:rPr>
              <w:t>1 Oct 2026</w:t>
            </w:r>
          </w:p>
        </w:tc>
        <w:tc>
          <w:tcPr>
            <w:tcW w:type="dxa" w:w="5832"/>
            <w:vAlign w:val="top"/>
          </w:tcPr>
          <w:p>
            <w:pPr>
              <w:spacing w:after="40"/>
            </w:pPr>
            <w:r>
              <w:rPr>
                <w:rFonts w:ascii="Aptos" w:hAnsi="Aptos"/>
                <w:color w:val="10243E"/>
                <w:sz w:val="15"/>
              </w:rPr>
              <w:t>Initial release of the workshop courseware</w:t>
            </w:r>
          </w:p>
        </w:tc>
        <w:tc>
          <w:tcPr>
            <w:tcW w:type="dxa" w:w="1584"/>
            <w:vAlign w:val="top"/>
          </w:tcPr>
          <w:p>
            <w:pPr>
              <w:spacing w:after="40"/>
            </w:pPr>
            <w:r>
              <w:rPr>
                <w:rFonts w:ascii="Aptos" w:hAnsi="Aptos"/>
                <w:color w:val="10243E"/>
                <w:sz w:val="15"/>
              </w:rPr>
              <w:t>Tertiary Infotech Academy</w:t>
            </w:r>
          </w:p>
        </w:tc>
      </w:tr>
    </w:tbl>
    <w:p>
      <w:pPr>
        <w:pStyle w:val="Heading1"/>
      </w:pPr>
      <w:r>
        <w:t>How to use this guide</w:t>
      </w:r>
    </w:p>
    <w:p>
      <w:r>
        <w:t>Use the slide deck to understand concepts and visual models. Use this guide for explanations, real-world case analysis, detailed lab procedures, verification criteria and transfer-to-work actions.</w:t>
      </w:r>
    </w:p>
    <w:p>
      <w:pPr>
        <w:pStyle w:val="Callout"/>
      </w:pPr>
      <w:r>
        <w:rPr>
          <w:b/>
        </w:rPr>
        <w:t xml:space="preserve">Safety boundary: </w:t>
      </w:r>
      <w:r>
        <w:t>Use only the named training tools and supplied mock data. Never test systems without explicit written authorisation.</w:t>
      </w:r>
    </w:p>
    <w:p>
      <w:pPr>
        <w:pStyle w:val="Heading1"/>
      </w:pPr>
      <w:r>
        <w:t>Contents</w:t>
      </w:r>
    </w:p>
    <w:p>
      <w:r>
        <w:fldChar w:fldCharType="begin"/>
        <w:instrText xml:space="preserve">TOC \o "1-3" \h \z \u</w:instrText>
        <w:fldChar w:fldCharType="separate"/>
        <w:t>Right-click and update this field in Word to refresh the table of contents.</w:t>
        <w:fldChar w:fldCharType="end"/>
      </w:r>
    </w:p>
    <w:p>
      <w:r>
        <w:br w:type="page"/>
      </w:r>
    </w:p>
    <w:p>
      <w:pPr>
        <w:pStyle w:val="Heading1"/>
      </w:pPr>
      <w:r>
        <w:t>Course outcomes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0B2545"/>
            <w:vAlign w:val="center"/>
          </w:tcPr>
          <w:p>
            <w:r>
              <w:rPr>
                <w:b/>
                <w:color w:val="FFFFFF"/>
                <w:sz w:val="17"/>
              </w:rPr>
              <w:t>Outcome</w:t>
            </w:r>
          </w:p>
        </w:tc>
        <w:tc>
          <w:tcPr>
            <w:tcW w:type="dxa" w:w="7056"/>
            <w:shd w:fill="0B2545"/>
            <w:vAlign w:val="center"/>
          </w:tcPr>
          <w:p>
            <w:r>
              <w:rPr>
                <w:b/>
                <w:color w:val="FFFFFF"/>
                <w:sz w:val="17"/>
              </w:rPr>
              <w:t>Performance statement</w:t>
            </w:r>
          </w:p>
        </w:tc>
        <w:tc>
          <w:tcPr>
            <w:tcW w:type="dxa" w:w="1944"/>
            <w:shd w:fill="0B2545"/>
            <w:vAlign w:val="center"/>
          </w:tcPr>
          <w:p>
            <w:r>
              <w:rPr>
                <w:b/>
                <w:color w:val="FFFFFF"/>
                <w:sz w:val="17"/>
              </w:rPr>
              <w:t>Topic</w:t>
            </w:r>
          </w:p>
        </w:tc>
      </w:tr>
      <w:tr>
        <w:trPr>
          <w:cantSplit/>
        </w:trPr>
        <w:tc>
          <w:tcPr>
            <w:tcW w:type="dxa" w:w="936"/>
            <w:vAlign w:val="top"/>
          </w:tcPr>
          <w:p>
            <w:pPr>
              <w:spacing w:after="40"/>
            </w:pPr>
            <w:r>
              <w:rPr>
                <w:rFonts w:ascii="Aptos" w:hAnsi="Aptos"/>
                <w:color w:val="10243E"/>
                <w:sz w:val="17"/>
              </w:rPr>
              <w:t>LO1</w:t>
            </w:r>
          </w:p>
        </w:tc>
        <w:tc>
          <w:tcPr>
            <w:tcW w:type="dxa" w:w="7056"/>
            <w:vAlign w:val="top"/>
          </w:tcPr>
          <w:p>
            <w:pPr>
              <w:spacing w:after="40"/>
            </w:pPr>
            <w:r>
              <w:rPr>
                <w:rFonts w:ascii="Aptos" w:hAnsi="Aptos"/>
                <w:color w:val="10243E"/>
                <w:sz w:val="17"/>
              </w:rPr>
              <w:t>Identify cyber security risks and threats affecting people and organisations</w:t>
            </w:r>
          </w:p>
        </w:tc>
        <w:tc>
          <w:tcPr>
            <w:tcW w:type="dxa" w:w="1944"/>
            <w:vAlign w:val="top"/>
          </w:tcPr>
          <w:p>
            <w:pPr>
              <w:spacing w:after="40"/>
            </w:pPr>
            <w:r>
              <w:rPr>
                <w:rFonts w:ascii="Aptos" w:hAnsi="Aptos"/>
                <w:color w:val="10243E"/>
                <w:sz w:val="17"/>
              </w:rPr>
              <w:t>Topic 1</w:t>
            </w:r>
          </w:p>
        </w:tc>
      </w:tr>
      <w:tr>
        <w:trPr>
          <w:cantSplit/>
        </w:trPr>
        <w:tc>
          <w:tcPr>
            <w:tcW w:type="dxa" w:w="936"/>
            <w:vAlign w:val="top"/>
          </w:tcPr>
          <w:p>
            <w:pPr>
              <w:spacing w:after="40"/>
            </w:pPr>
            <w:r>
              <w:rPr>
                <w:rFonts w:ascii="Aptos" w:hAnsi="Aptos"/>
                <w:color w:val="10243E"/>
                <w:sz w:val="17"/>
              </w:rPr>
              <w:t>LO2</w:t>
            </w:r>
          </w:p>
        </w:tc>
        <w:tc>
          <w:tcPr>
            <w:tcW w:type="dxa" w:w="7056"/>
            <w:vAlign w:val="top"/>
          </w:tcPr>
          <w:p>
            <w:pPr>
              <w:spacing w:after="40"/>
            </w:pPr>
            <w:r>
              <w:rPr>
                <w:rFonts w:ascii="Aptos" w:hAnsi="Aptos"/>
                <w:color w:val="10243E"/>
                <w:sz w:val="17"/>
              </w:rPr>
              <w:t>Apply safeguards to protect personal information and everyday digital activity</w:t>
            </w:r>
          </w:p>
        </w:tc>
        <w:tc>
          <w:tcPr>
            <w:tcW w:type="dxa" w:w="1944"/>
            <w:vAlign w:val="top"/>
          </w:tcPr>
          <w:p>
            <w:pPr>
              <w:spacing w:after="40"/>
            </w:pPr>
            <w:r>
              <w:rPr>
                <w:rFonts w:ascii="Aptos" w:hAnsi="Aptos"/>
                <w:color w:val="10243E"/>
                <w:sz w:val="17"/>
              </w:rPr>
              <w:t>Topic 2</w:t>
            </w:r>
          </w:p>
        </w:tc>
      </w:tr>
      <w:tr>
        <w:trPr>
          <w:cantSplit/>
        </w:trPr>
        <w:tc>
          <w:tcPr>
            <w:tcW w:type="dxa" w:w="936"/>
            <w:vAlign w:val="top"/>
          </w:tcPr>
          <w:p>
            <w:pPr>
              <w:spacing w:after="40"/>
            </w:pPr>
            <w:r>
              <w:rPr>
                <w:rFonts w:ascii="Aptos" w:hAnsi="Aptos"/>
                <w:color w:val="10243E"/>
                <w:sz w:val="17"/>
              </w:rPr>
              <w:t>LO3</w:t>
            </w:r>
          </w:p>
        </w:tc>
        <w:tc>
          <w:tcPr>
            <w:tcW w:type="dxa" w:w="7056"/>
            <w:vAlign w:val="top"/>
          </w:tcPr>
          <w:p>
            <w:pPr>
              <w:spacing w:after="40"/>
            </w:pPr>
            <w:r>
              <w:rPr>
                <w:rFonts w:ascii="Aptos" w:hAnsi="Aptos"/>
                <w:color w:val="10243E"/>
                <w:sz w:val="17"/>
              </w:rPr>
              <w:t>Apply business safeguards and interpret incidents that require escalation</w:t>
            </w:r>
          </w:p>
        </w:tc>
        <w:tc>
          <w:tcPr>
            <w:tcW w:type="dxa" w:w="1944"/>
            <w:vAlign w:val="top"/>
          </w:tcPr>
          <w:p>
            <w:pPr>
              <w:spacing w:after="40"/>
            </w:pPr>
            <w:r>
              <w:rPr>
                <w:rFonts w:ascii="Aptos" w:hAnsi="Aptos"/>
                <w:color w:val="10243E"/>
                <w:sz w:val="17"/>
              </w:rPr>
              <w:t>Topic 3</w:t>
            </w:r>
          </w:p>
        </w:tc>
      </w:tr>
    </w:tbl>
    <w:p>
      <w:pPr>
        <w:pStyle w:val="Heading1"/>
      </w:pPr>
      <w:r>
        <w:t>Core language</w:t>
      </w:r>
    </w:p>
    <w:p>
      <w:pPr>
        <w:pStyle w:val="Heading3"/>
      </w:pPr>
      <w:r>
        <w:t>Asset</w:t>
      </w:r>
    </w:p>
    <w:p>
      <w:r>
        <w:t>Anything valuable to a person or organisation, including identity, device, data, service, money, reputation and safety.</w:t>
      </w:r>
    </w:p>
    <w:p>
      <w:pPr>
        <w:pStyle w:val="Heading3"/>
      </w:pPr>
      <w:r>
        <w:t>Threat</w:t>
      </w:r>
    </w:p>
    <w:p>
      <w:r>
        <w:t>A person, event or mechanism capable of causing harm.</w:t>
      </w:r>
    </w:p>
    <w:p>
      <w:pPr>
        <w:pStyle w:val="Heading3"/>
      </w:pPr>
      <w:r>
        <w:t>Vulnerability</w:t>
      </w:r>
    </w:p>
    <w:p>
      <w:r>
        <w:t>A weakness, insecure feature, configuration or human process that can be exploited.</w:t>
      </w:r>
    </w:p>
    <w:p>
      <w:pPr>
        <w:pStyle w:val="Heading3"/>
      </w:pPr>
      <w:r>
        <w:t>Exploit</w:t>
      </w:r>
    </w:p>
    <w:p>
      <w:r>
        <w:t>A technique or code that takes advantage of a vulnerability.</w:t>
      </w:r>
    </w:p>
    <w:p>
      <w:pPr>
        <w:pStyle w:val="Heading3"/>
      </w:pPr>
      <w:r>
        <w:t>Risk</w:t>
      </w:r>
    </w:p>
    <w:p>
      <w:r>
        <w:t>The likelihood and consequence of harm in context, after considering existing controls.</w:t>
      </w:r>
    </w:p>
    <w:p>
      <w:pPr>
        <w:pStyle w:val="Heading3"/>
      </w:pPr>
      <w:r>
        <w:t>Control</w:t>
      </w:r>
    </w:p>
    <w:p>
      <w:r>
        <w:t>A safeguard that prevents, detects, contains, corrects or supports recovery.</w:t>
      </w:r>
    </w:p>
    <w:p>
      <w:pPr>
        <w:spacing w:before="80" w:after="120"/>
      </w:pPr>
      <w:r>
        <w:rPr>
          <w:b/>
          <w:color w:val="5F6B7A"/>
          <w:sz w:val="16"/>
        </w:rPr>
        <w:t xml:space="preserve">Source: </w:t>
      </w:r>
      <w:hyperlink r:id="rId12">
        <w:r>
          <w:rPr>
            <w:color w:val="176B87"/>
            <w:u w:val="single"/>
          </w:rPr>
          <w:t>NCSC — Understanding vulnerabilities</w:t>
        </w:r>
      </w:hyperlink>
    </w:p>
    <w:p>
      <w:pPr>
        <w:pStyle w:val="Heading1"/>
      </w:pPr>
      <w:r>
        <w:t>Topic 1 — Identify cyber security risks and threats</w:t>
      </w:r>
    </w:p>
    <w:p>
      <w:r>
        <w:t>Cyber incidents are sequences, not isolated technical labels. A useful analysis identifies the valuable asset, the actor or mechanism, the weakness, the observable evidence and the likely business impact. This avoids two common errors: treating every alert as a crisis and dismissing weak signals that form a credible chain when combined.</w:t>
      </w:r>
    </w:p>
    <w:p>
      <w:pPr>
        <w:pStyle w:val="Heading2"/>
      </w:pPr>
      <w:r>
        <w:t>Threat actors and motives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0B2545"/>
            <w:vAlign w:val="center"/>
          </w:tcPr>
          <w:p>
            <w:r>
              <w:rPr>
                <w:b/>
                <w:color w:val="FFFFFF"/>
                <w:sz w:val="16"/>
              </w:rPr>
              <w:t>Actor</w:t>
            </w:r>
          </w:p>
        </w:tc>
        <w:tc>
          <w:tcPr>
            <w:tcW w:type="dxa" w:w="3024"/>
            <w:shd w:fill="0B2545"/>
            <w:vAlign w:val="center"/>
          </w:tcPr>
          <w:p>
            <w:r>
              <w:rPr>
                <w:b/>
                <w:color w:val="FFFFFF"/>
                <w:sz w:val="16"/>
              </w:rPr>
              <w:t>Typical motive</w:t>
            </w:r>
          </w:p>
        </w:tc>
        <w:tc>
          <w:tcPr>
            <w:tcW w:type="dxa" w:w="5112"/>
            <w:shd w:fill="0B2545"/>
            <w:vAlign w:val="center"/>
          </w:tcPr>
          <w:p>
            <w:r>
              <w:rPr>
                <w:b/>
                <w:color w:val="FFFFFF"/>
                <w:sz w:val="16"/>
              </w:rPr>
              <w:t>Awareness implication</w:t>
            </w:r>
          </w:p>
        </w:tc>
      </w:tr>
      <w:tr>
        <w:trPr>
          <w:cantSplit/>
        </w:trPr>
        <w:tc>
          <w:tcPr>
            <w:tcW w:type="dxa" w:w="1944"/>
            <w:vAlign w:val="top"/>
          </w:tcPr>
          <w:p>
            <w:pPr>
              <w:spacing w:after="40"/>
            </w:pPr>
            <w:r>
              <w:rPr>
                <w:rFonts w:ascii="Aptos" w:hAnsi="Aptos"/>
                <w:color w:val="10243E"/>
                <w:sz w:val="16"/>
              </w:rPr>
              <w:t>Cybercriminal</w:t>
            </w:r>
          </w:p>
        </w:tc>
        <w:tc>
          <w:tcPr>
            <w:tcW w:type="dxa" w:w="3024"/>
            <w:vAlign w:val="top"/>
          </w:tcPr>
          <w:p>
            <w:pPr>
              <w:spacing w:after="40"/>
            </w:pPr>
            <w:r>
              <w:rPr>
                <w:rFonts w:ascii="Aptos" w:hAnsi="Aptos"/>
                <w:color w:val="10243E"/>
                <w:sz w:val="16"/>
              </w:rPr>
              <w:t>Fraud, theft, extortion and resale</w:t>
            </w:r>
          </w:p>
        </w:tc>
        <w:tc>
          <w:tcPr>
            <w:tcW w:type="dxa" w:w="5112"/>
            <w:vAlign w:val="top"/>
          </w:tcPr>
          <w:p>
            <w:pPr>
              <w:spacing w:after="40"/>
            </w:pPr>
            <w:r>
              <w:rPr>
                <w:rFonts w:ascii="Aptos" w:hAnsi="Aptos"/>
                <w:color w:val="10243E"/>
                <w:sz w:val="16"/>
              </w:rPr>
              <w:t>High-volume attempts coexist with targeted BEC and ransomware.</w:t>
            </w:r>
          </w:p>
        </w:tc>
      </w:tr>
      <w:tr>
        <w:trPr>
          <w:cantSplit/>
        </w:trPr>
        <w:tc>
          <w:tcPr>
            <w:tcW w:type="dxa" w:w="1944"/>
            <w:vAlign w:val="top"/>
          </w:tcPr>
          <w:p>
            <w:pPr>
              <w:spacing w:after="40"/>
            </w:pPr>
            <w:r>
              <w:rPr>
                <w:rFonts w:ascii="Aptos" w:hAnsi="Aptos"/>
                <w:color w:val="10243E"/>
                <w:sz w:val="16"/>
              </w:rPr>
              <w:t>Insider</w:t>
            </w:r>
          </w:p>
        </w:tc>
        <w:tc>
          <w:tcPr>
            <w:tcW w:type="dxa" w:w="3024"/>
            <w:vAlign w:val="top"/>
          </w:tcPr>
          <w:p>
            <w:pPr>
              <w:spacing w:after="40"/>
            </w:pPr>
            <w:r>
              <w:rPr>
                <w:rFonts w:ascii="Aptos" w:hAnsi="Aptos"/>
                <w:color w:val="10243E"/>
                <w:sz w:val="16"/>
              </w:rPr>
              <w:t>Malice, coercion or accidental misuse</w:t>
            </w:r>
          </w:p>
        </w:tc>
        <w:tc>
          <w:tcPr>
            <w:tcW w:type="dxa" w:w="5112"/>
            <w:vAlign w:val="top"/>
          </w:tcPr>
          <w:p>
            <w:pPr>
              <w:spacing w:after="40"/>
            </w:pPr>
            <w:r>
              <w:rPr>
                <w:rFonts w:ascii="Aptos" w:hAnsi="Aptos"/>
                <w:color w:val="10243E"/>
                <w:sz w:val="16"/>
              </w:rPr>
              <w:t>Legitimate access can still create risk; focus on behaviour and least privilege.</w:t>
            </w:r>
          </w:p>
        </w:tc>
      </w:tr>
      <w:tr>
        <w:trPr>
          <w:cantSplit/>
        </w:trPr>
        <w:tc>
          <w:tcPr>
            <w:tcW w:type="dxa" w:w="1944"/>
            <w:vAlign w:val="top"/>
          </w:tcPr>
          <w:p>
            <w:pPr>
              <w:spacing w:after="40"/>
            </w:pPr>
            <w:r>
              <w:rPr>
                <w:rFonts w:ascii="Aptos" w:hAnsi="Aptos"/>
                <w:color w:val="10243E"/>
                <w:sz w:val="16"/>
              </w:rPr>
              <w:t>Hacktivist</w:t>
            </w:r>
          </w:p>
        </w:tc>
        <w:tc>
          <w:tcPr>
            <w:tcW w:type="dxa" w:w="3024"/>
            <w:vAlign w:val="top"/>
          </w:tcPr>
          <w:p>
            <w:pPr>
              <w:spacing w:after="40"/>
            </w:pPr>
            <w:r>
              <w:rPr>
                <w:rFonts w:ascii="Aptos" w:hAnsi="Aptos"/>
                <w:color w:val="10243E"/>
                <w:sz w:val="16"/>
              </w:rPr>
              <w:t>Visibility, disruption or disclosure</w:t>
            </w:r>
          </w:p>
        </w:tc>
        <w:tc>
          <w:tcPr>
            <w:tcW w:type="dxa" w:w="5112"/>
            <w:vAlign w:val="top"/>
          </w:tcPr>
          <w:p>
            <w:pPr>
              <w:spacing w:after="40"/>
            </w:pPr>
            <w:r>
              <w:rPr>
                <w:rFonts w:ascii="Aptos" w:hAnsi="Aptos"/>
                <w:color w:val="10243E"/>
                <w:sz w:val="16"/>
              </w:rPr>
              <w:t>Public-facing systems and reputation may be targeted.</w:t>
            </w:r>
          </w:p>
        </w:tc>
      </w:tr>
      <w:tr>
        <w:trPr>
          <w:cantSplit/>
        </w:trPr>
        <w:tc>
          <w:tcPr>
            <w:tcW w:type="dxa" w:w="1944"/>
            <w:vAlign w:val="top"/>
          </w:tcPr>
          <w:p>
            <w:pPr>
              <w:spacing w:after="40"/>
            </w:pPr>
            <w:r>
              <w:rPr>
                <w:rFonts w:ascii="Aptos" w:hAnsi="Aptos"/>
                <w:color w:val="10243E"/>
                <w:sz w:val="16"/>
              </w:rPr>
              <w:t>Nation-state / APT</w:t>
            </w:r>
          </w:p>
        </w:tc>
        <w:tc>
          <w:tcPr>
            <w:tcW w:type="dxa" w:w="3024"/>
            <w:vAlign w:val="top"/>
          </w:tcPr>
          <w:p>
            <w:pPr>
              <w:spacing w:after="40"/>
            </w:pPr>
            <w:r>
              <w:rPr>
                <w:rFonts w:ascii="Aptos" w:hAnsi="Aptos"/>
                <w:color w:val="10243E"/>
                <w:sz w:val="16"/>
              </w:rPr>
              <w:t>Strategic intelligence or persistent access</w:t>
            </w:r>
          </w:p>
        </w:tc>
        <w:tc>
          <w:tcPr>
            <w:tcW w:type="dxa" w:w="5112"/>
            <w:vAlign w:val="top"/>
          </w:tcPr>
          <w:p>
            <w:pPr>
              <w:spacing w:after="40"/>
            </w:pPr>
            <w:r>
              <w:rPr>
                <w:rFonts w:ascii="Aptos" w:hAnsi="Aptos"/>
                <w:color w:val="10243E"/>
                <w:sz w:val="16"/>
              </w:rPr>
              <w:t>Low-noise activity, suppliers and privileged identities matter.</w:t>
            </w:r>
          </w:p>
        </w:tc>
      </w:tr>
      <w:tr>
        <w:trPr>
          <w:cantSplit/>
        </w:trPr>
        <w:tc>
          <w:tcPr>
            <w:tcW w:type="dxa" w:w="1944"/>
            <w:vAlign w:val="top"/>
          </w:tcPr>
          <w:p>
            <w:pPr>
              <w:spacing w:after="40"/>
            </w:pPr>
            <w:r>
              <w:rPr>
                <w:rFonts w:ascii="Aptos" w:hAnsi="Aptos"/>
                <w:color w:val="10243E"/>
                <w:sz w:val="16"/>
              </w:rPr>
              <w:t>Opportunist</w:t>
            </w:r>
          </w:p>
        </w:tc>
        <w:tc>
          <w:tcPr>
            <w:tcW w:type="dxa" w:w="3024"/>
            <w:vAlign w:val="top"/>
          </w:tcPr>
          <w:p>
            <w:pPr>
              <w:spacing w:after="40"/>
            </w:pPr>
            <w:r>
              <w:rPr>
                <w:rFonts w:ascii="Aptos" w:hAnsi="Aptos"/>
                <w:color w:val="10243E"/>
                <w:sz w:val="16"/>
              </w:rPr>
              <w:t>Exploit exposed systems at scale</w:t>
            </w:r>
          </w:p>
        </w:tc>
        <w:tc>
          <w:tcPr>
            <w:tcW w:type="dxa" w:w="5112"/>
            <w:vAlign w:val="top"/>
          </w:tcPr>
          <w:p>
            <w:pPr>
              <w:spacing w:after="40"/>
            </w:pPr>
            <w:r>
              <w:rPr>
                <w:rFonts w:ascii="Aptos" w:hAnsi="Aptos"/>
                <w:color w:val="10243E"/>
                <w:sz w:val="16"/>
              </w:rPr>
              <w:t>Basic hygiene closes many automated attack paths.</w:t>
            </w:r>
          </w:p>
        </w:tc>
      </w:tr>
    </w:tbl>
    <w:p>
      <w:pPr>
        <w:pStyle w:val="Heading2"/>
      </w:pPr>
      <w:r>
        <w:t>Malware types and characteristics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296"/>
            <w:shd w:fill="0B2545"/>
            <w:vAlign w:val="center"/>
          </w:tcPr>
          <w:p>
            <w:r>
              <w:rPr>
                <w:b/>
                <w:color w:val="FFFFFF"/>
                <w:sz w:val="15"/>
              </w:rPr>
              <w:t>Type</w:t>
            </w:r>
          </w:p>
        </w:tc>
        <w:tc>
          <w:tcPr>
            <w:tcW w:type="dxa" w:w="2951"/>
            <w:shd w:fill="0B2545"/>
            <w:vAlign w:val="center"/>
          </w:tcPr>
          <w:p>
            <w:r>
              <w:rPr>
                <w:b/>
                <w:color w:val="FFFFFF"/>
                <w:sz w:val="15"/>
              </w:rPr>
              <w:t>Core behaviour</w:t>
            </w:r>
          </w:p>
        </w:tc>
        <w:tc>
          <w:tcPr>
            <w:tcW w:type="dxa" w:w="2951"/>
            <w:shd w:fill="0B2545"/>
            <w:vAlign w:val="center"/>
          </w:tcPr>
          <w:p>
            <w:r>
              <w:rPr>
                <w:b/>
                <w:color w:val="FFFFFF"/>
                <w:sz w:val="15"/>
              </w:rPr>
              <w:t>Warning signs</w:t>
            </w:r>
          </w:p>
        </w:tc>
        <w:tc>
          <w:tcPr>
            <w:tcW w:type="dxa" w:w="2880"/>
            <w:shd w:fill="0B2545"/>
            <w:vAlign w:val="center"/>
          </w:tcPr>
          <w:p>
            <w:r>
              <w:rPr>
                <w:b/>
                <w:color w:val="FFFFFF"/>
                <w:sz w:val="15"/>
              </w:rPr>
              <w:t>First defensive priority</w:t>
            </w:r>
          </w:p>
        </w:tc>
      </w:tr>
      <w:tr>
        <w:trPr>
          <w:cantSplit/>
        </w:trPr>
        <w:tc>
          <w:tcPr>
            <w:tcW w:type="dxa" w:w="1296"/>
            <w:vAlign w:val="top"/>
          </w:tcPr>
          <w:p>
            <w:pPr>
              <w:spacing w:after="40"/>
            </w:pPr>
            <w:r>
              <w:rPr>
                <w:rFonts w:ascii="Aptos" w:hAnsi="Aptos"/>
                <w:color w:val="10243E"/>
                <w:sz w:val="15"/>
              </w:rPr>
              <w:t>Virus</w:t>
            </w:r>
          </w:p>
        </w:tc>
        <w:tc>
          <w:tcPr>
            <w:tcW w:type="dxa" w:w="2951"/>
            <w:vAlign w:val="top"/>
          </w:tcPr>
          <w:p>
            <w:pPr>
              <w:spacing w:after="40"/>
            </w:pPr>
            <w:r>
              <w:rPr>
                <w:rFonts w:ascii="Aptos" w:hAnsi="Aptos"/>
                <w:color w:val="10243E"/>
                <w:sz w:val="15"/>
              </w:rPr>
              <w:t>Attaches to a host file and executes when the file runs</w:t>
            </w:r>
          </w:p>
        </w:tc>
        <w:tc>
          <w:tcPr>
            <w:tcW w:type="dxa" w:w="2951"/>
            <w:vAlign w:val="top"/>
          </w:tcPr>
          <w:p>
            <w:pPr>
              <w:spacing w:after="40"/>
            </w:pPr>
            <w:r>
              <w:rPr>
                <w:rFonts w:ascii="Aptos" w:hAnsi="Aptos"/>
                <w:color w:val="10243E"/>
                <w:sz w:val="15"/>
              </w:rPr>
              <w:t>Unexpected file changes; antivirus detections</w:t>
            </w:r>
          </w:p>
        </w:tc>
        <w:tc>
          <w:tcPr>
            <w:tcW w:type="dxa" w:w="2880"/>
            <w:vAlign w:val="top"/>
          </w:tcPr>
          <w:p>
            <w:pPr>
              <w:spacing w:after="40"/>
            </w:pPr>
            <w:r>
              <w:rPr>
                <w:rFonts w:ascii="Aptos" w:hAnsi="Aptos"/>
                <w:color w:val="10243E"/>
                <w:sz w:val="15"/>
              </w:rPr>
              <w:t>Block execution, isolate, restore clean copies</w:t>
            </w:r>
          </w:p>
        </w:tc>
      </w:tr>
      <w:tr>
        <w:trPr>
          <w:cantSplit/>
        </w:trPr>
        <w:tc>
          <w:tcPr>
            <w:tcW w:type="dxa" w:w="1296"/>
            <w:vAlign w:val="top"/>
          </w:tcPr>
          <w:p>
            <w:pPr>
              <w:spacing w:after="40"/>
            </w:pPr>
            <w:r>
              <w:rPr>
                <w:rFonts w:ascii="Aptos" w:hAnsi="Aptos"/>
                <w:color w:val="10243E"/>
                <w:sz w:val="15"/>
              </w:rPr>
              <w:t>Worm</w:t>
            </w:r>
          </w:p>
        </w:tc>
        <w:tc>
          <w:tcPr>
            <w:tcW w:type="dxa" w:w="2951"/>
            <w:vAlign w:val="top"/>
          </w:tcPr>
          <w:p>
            <w:pPr>
              <w:spacing w:after="40"/>
            </w:pPr>
            <w:r>
              <w:rPr>
                <w:rFonts w:ascii="Aptos" w:hAnsi="Aptos"/>
                <w:color w:val="10243E"/>
                <w:sz w:val="15"/>
              </w:rPr>
              <w:t>Self-propagates across reachable systems</w:t>
            </w:r>
          </w:p>
        </w:tc>
        <w:tc>
          <w:tcPr>
            <w:tcW w:type="dxa" w:w="2951"/>
            <w:vAlign w:val="top"/>
          </w:tcPr>
          <w:p>
            <w:pPr>
              <w:spacing w:after="40"/>
            </w:pPr>
            <w:r>
              <w:rPr>
                <w:rFonts w:ascii="Aptos" w:hAnsi="Aptos"/>
                <w:color w:val="10243E"/>
                <w:sz w:val="15"/>
              </w:rPr>
              <w:t>Rapid scanning and repeated connections</w:t>
            </w:r>
          </w:p>
        </w:tc>
        <w:tc>
          <w:tcPr>
            <w:tcW w:type="dxa" w:w="2880"/>
            <w:vAlign w:val="top"/>
          </w:tcPr>
          <w:p>
            <w:pPr>
              <w:spacing w:after="40"/>
            </w:pPr>
            <w:r>
              <w:rPr>
                <w:rFonts w:ascii="Aptos" w:hAnsi="Aptos"/>
                <w:color w:val="10243E"/>
                <w:sz w:val="15"/>
              </w:rPr>
              <w:t>Segment, patch, isolate affected segments</w:t>
            </w:r>
          </w:p>
        </w:tc>
      </w:tr>
      <w:tr>
        <w:trPr>
          <w:cantSplit/>
        </w:trPr>
        <w:tc>
          <w:tcPr>
            <w:tcW w:type="dxa" w:w="1296"/>
            <w:vAlign w:val="top"/>
          </w:tcPr>
          <w:p>
            <w:pPr>
              <w:spacing w:after="40"/>
            </w:pPr>
            <w:r>
              <w:rPr>
                <w:rFonts w:ascii="Aptos" w:hAnsi="Aptos"/>
                <w:color w:val="10243E"/>
                <w:sz w:val="15"/>
              </w:rPr>
              <w:t>Trojan</w:t>
            </w:r>
          </w:p>
        </w:tc>
        <w:tc>
          <w:tcPr>
            <w:tcW w:type="dxa" w:w="2951"/>
            <w:vAlign w:val="top"/>
          </w:tcPr>
          <w:p>
            <w:pPr>
              <w:spacing w:after="40"/>
            </w:pPr>
            <w:r>
              <w:rPr>
                <w:rFonts w:ascii="Aptos" w:hAnsi="Aptos"/>
                <w:color w:val="10243E"/>
                <w:sz w:val="15"/>
              </w:rPr>
              <w:t>Disguises malicious capability as legitimate software</w:t>
            </w:r>
          </w:p>
        </w:tc>
        <w:tc>
          <w:tcPr>
            <w:tcW w:type="dxa" w:w="2951"/>
            <w:vAlign w:val="top"/>
          </w:tcPr>
          <w:p>
            <w:pPr>
              <w:spacing w:after="40"/>
            </w:pPr>
            <w:r>
              <w:rPr>
                <w:rFonts w:ascii="Aptos" w:hAnsi="Aptos"/>
                <w:color w:val="10243E"/>
                <w:sz w:val="15"/>
              </w:rPr>
              <w:t>Untrusted installer, new process or persistence</w:t>
            </w:r>
          </w:p>
        </w:tc>
        <w:tc>
          <w:tcPr>
            <w:tcW w:type="dxa" w:w="2880"/>
            <w:vAlign w:val="top"/>
          </w:tcPr>
          <w:p>
            <w:pPr>
              <w:spacing w:after="40"/>
            </w:pPr>
            <w:r>
              <w:rPr>
                <w:rFonts w:ascii="Aptos" w:hAnsi="Aptos"/>
                <w:color w:val="10243E"/>
                <w:sz w:val="15"/>
              </w:rPr>
              <w:t>Application control, trusted sources, EDR</w:t>
            </w:r>
          </w:p>
        </w:tc>
      </w:tr>
      <w:tr>
        <w:trPr>
          <w:cantSplit/>
        </w:trPr>
        <w:tc>
          <w:tcPr>
            <w:tcW w:type="dxa" w:w="1296"/>
            <w:vAlign w:val="top"/>
          </w:tcPr>
          <w:p>
            <w:pPr>
              <w:spacing w:after="40"/>
            </w:pPr>
            <w:r>
              <w:rPr>
                <w:rFonts w:ascii="Aptos" w:hAnsi="Aptos"/>
                <w:color w:val="10243E"/>
                <w:sz w:val="15"/>
              </w:rPr>
              <w:t>Ransomware</w:t>
            </w:r>
          </w:p>
        </w:tc>
        <w:tc>
          <w:tcPr>
            <w:tcW w:type="dxa" w:w="2951"/>
            <w:vAlign w:val="top"/>
          </w:tcPr>
          <w:p>
            <w:pPr>
              <w:spacing w:after="40"/>
            </w:pPr>
            <w:r>
              <w:rPr>
                <w:rFonts w:ascii="Aptos" w:hAnsi="Aptos"/>
                <w:color w:val="10243E"/>
                <w:sz w:val="15"/>
              </w:rPr>
              <w:t>Encrypts or disrupts systems and demands payment</w:t>
            </w:r>
          </w:p>
        </w:tc>
        <w:tc>
          <w:tcPr>
            <w:tcW w:type="dxa" w:w="2951"/>
            <w:vAlign w:val="top"/>
          </w:tcPr>
          <w:p>
            <w:pPr>
              <w:spacing w:after="40"/>
            </w:pPr>
            <w:r>
              <w:rPr>
                <w:rFonts w:ascii="Aptos" w:hAnsi="Aptos"/>
                <w:color w:val="10243E"/>
                <w:sz w:val="15"/>
              </w:rPr>
              <w:t>File extensions change, ransom note, unavailable services</w:t>
            </w:r>
          </w:p>
        </w:tc>
        <w:tc>
          <w:tcPr>
            <w:tcW w:type="dxa" w:w="2880"/>
            <w:vAlign w:val="top"/>
          </w:tcPr>
          <w:p>
            <w:pPr>
              <w:spacing w:after="40"/>
            </w:pPr>
            <w:r>
              <w:rPr>
                <w:rFonts w:ascii="Aptos" w:hAnsi="Aptos"/>
                <w:color w:val="10243E"/>
                <w:sz w:val="15"/>
              </w:rPr>
              <w:t>Isolate, preserve evidence, activate response and recovery</w:t>
            </w:r>
          </w:p>
        </w:tc>
      </w:tr>
      <w:tr>
        <w:trPr>
          <w:cantSplit/>
        </w:trPr>
        <w:tc>
          <w:tcPr>
            <w:tcW w:type="dxa" w:w="1296"/>
            <w:vAlign w:val="top"/>
          </w:tcPr>
          <w:p>
            <w:pPr>
              <w:spacing w:after="40"/>
            </w:pPr>
            <w:r>
              <w:rPr>
                <w:rFonts w:ascii="Aptos" w:hAnsi="Aptos"/>
                <w:color w:val="10243E"/>
                <w:sz w:val="15"/>
              </w:rPr>
              <w:t>Spyware</w:t>
            </w:r>
          </w:p>
        </w:tc>
        <w:tc>
          <w:tcPr>
            <w:tcW w:type="dxa" w:w="2951"/>
            <w:vAlign w:val="top"/>
          </w:tcPr>
          <w:p>
            <w:pPr>
              <w:spacing w:after="40"/>
            </w:pPr>
            <w:r>
              <w:rPr>
                <w:rFonts w:ascii="Aptos" w:hAnsi="Aptos"/>
                <w:color w:val="10243E"/>
                <w:sz w:val="15"/>
              </w:rPr>
              <w:t>Collects activity, credentials or data covertly</w:t>
            </w:r>
          </w:p>
        </w:tc>
        <w:tc>
          <w:tcPr>
            <w:tcW w:type="dxa" w:w="2951"/>
            <w:vAlign w:val="top"/>
          </w:tcPr>
          <w:p>
            <w:pPr>
              <w:spacing w:after="40"/>
            </w:pPr>
            <w:r>
              <w:rPr>
                <w:rFonts w:ascii="Aptos" w:hAnsi="Aptos"/>
                <w:color w:val="10243E"/>
                <w:sz w:val="15"/>
              </w:rPr>
              <w:t>Browser changes, unusual outbound traffic</w:t>
            </w:r>
          </w:p>
        </w:tc>
        <w:tc>
          <w:tcPr>
            <w:tcW w:type="dxa" w:w="2880"/>
            <w:vAlign w:val="top"/>
          </w:tcPr>
          <w:p>
            <w:pPr>
              <w:spacing w:after="40"/>
            </w:pPr>
            <w:r>
              <w:rPr>
                <w:rFonts w:ascii="Aptos" w:hAnsi="Aptos"/>
                <w:color w:val="10243E"/>
                <w:sz w:val="15"/>
              </w:rPr>
              <w:t>Remove persistence, reset credentials safely</w:t>
            </w:r>
          </w:p>
        </w:tc>
      </w:tr>
      <w:tr>
        <w:trPr>
          <w:cantSplit/>
        </w:trPr>
        <w:tc>
          <w:tcPr>
            <w:tcW w:type="dxa" w:w="1296"/>
            <w:vAlign w:val="top"/>
          </w:tcPr>
          <w:p>
            <w:pPr>
              <w:spacing w:after="40"/>
            </w:pPr>
            <w:r>
              <w:rPr>
                <w:rFonts w:ascii="Aptos" w:hAnsi="Aptos"/>
                <w:color w:val="10243E"/>
                <w:sz w:val="15"/>
              </w:rPr>
              <w:t>Rootkit</w:t>
            </w:r>
          </w:p>
        </w:tc>
        <w:tc>
          <w:tcPr>
            <w:tcW w:type="dxa" w:w="2951"/>
            <w:vAlign w:val="top"/>
          </w:tcPr>
          <w:p>
            <w:pPr>
              <w:spacing w:after="40"/>
            </w:pPr>
            <w:r>
              <w:rPr>
                <w:rFonts w:ascii="Aptos" w:hAnsi="Aptos"/>
                <w:color w:val="10243E"/>
                <w:sz w:val="15"/>
              </w:rPr>
              <w:t>Hides privileged malicious activity</w:t>
            </w:r>
          </w:p>
        </w:tc>
        <w:tc>
          <w:tcPr>
            <w:tcW w:type="dxa" w:w="2951"/>
            <w:vAlign w:val="top"/>
          </w:tcPr>
          <w:p>
            <w:pPr>
              <w:spacing w:after="40"/>
            </w:pPr>
            <w:r>
              <w:rPr>
                <w:rFonts w:ascii="Aptos" w:hAnsi="Aptos"/>
                <w:color w:val="10243E"/>
                <w:sz w:val="15"/>
              </w:rPr>
              <w:t>Integrity anomalies, unexplained privileged changes</w:t>
            </w:r>
          </w:p>
        </w:tc>
        <w:tc>
          <w:tcPr>
            <w:tcW w:type="dxa" w:w="2880"/>
            <w:vAlign w:val="top"/>
          </w:tcPr>
          <w:p>
            <w:pPr>
              <w:spacing w:after="40"/>
            </w:pPr>
            <w:r>
              <w:rPr>
                <w:rFonts w:ascii="Aptos" w:hAnsi="Aptos"/>
                <w:color w:val="10243E"/>
                <w:sz w:val="15"/>
              </w:rPr>
              <w:t>Offline investigation, rebuild trusted baseline</w:t>
            </w:r>
          </w:p>
        </w:tc>
      </w:tr>
      <w:tr>
        <w:trPr>
          <w:cantSplit/>
        </w:trPr>
        <w:tc>
          <w:tcPr>
            <w:tcW w:type="dxa" w:w="1296"/>
            <w:vAlign w:val="top"/>
          </w:tcPr>
          <w:p>
            <w:pPr>
              <w:spacing w:after="40"/>
            </w:pPr>
            <w:r>
              <w:rPr>
                <w:rFonts w:ascii="Aptos" w:hAnsi="Aptos"/>
                <w:color w:val="10243E"/>
                <w:sz w:val="15"/>
              </w:rPr>
              <w:t>Bot</w:t>
            </w:r>
          </w:p>
        </w:tc>
        <w:tc>
          <w:tcPr>
            <w:tcW w:type="dxa" w:w="2951"/>
            <w:vAlign w:val="top"/>
          </w:tcPr>
          <w:p>
            <w:pPr>
              <w:spacing w:after="40"/>
            </w:pPr>
            <w:r>
              <w:rPr>
                <w:rFonts w:ascii="Aptos" w:hAnsi="Aptos"/>
                <w:color w:val="10243E"/>
                <w:sz w:val="15"/>
              </w:rPr>
              <w:t>Places a device under remote command</w:t>
            </w:r>
          </w:p>
        </w:tc>
        <w:tc>
          <w:tcPr>
            <w:tcW w:type="dxa" w:w="2951"/>
            <w:vAlign w:val="top"/>
          </w:tcPr>
          <w:p>
            <w:pPr>
              <w:spacing w:after="40"/>
            </w:pPr>
            <w:r>
              <w:rPr>
                <w:rFonts w:ascii="Aptos" w:hAnsi="Aptos"/>
                <w:color w:val="10243E"/>
                <w:sz w:val="15"/>
              </w:rPr>
              <w:t>Beaconing, DDoS or spam activity</w:t>
            </w:r>
          </w:p>
        </w:tc>
        <w:tc>
          <w:tcPr>
            <w:tcW w:type="dxa" w:w="2880"/>
            <w:vAlign w:val="top"/>
          </w:tcPr>
          <w:p>
            <w:pPr>
              <w:spacing w:after="40"/>
            </w:pPr>
            <w:r>
              <w:rPr>
                <w:rFonts w:ascii="Aptos" w:hAnsi="Aptos"/>
                <w:color w:val="10243E"/>
                <w:sz w:val="15"/>
              </w:rPr>
              <w:t>Block command-and-control, isolate, remediate</w:t>
            </w:r>
          </w:p>
        </w:tc>
      </w:tr>
      <w:tr>
        <w:trPr>
          <w:cantSplit/>
        </w:trPr>
        <w:tc>
          <w:tcPr>
            <w:tcW w:type="dxa" w:w="1296"/>
            <w:vAlign w:val="top"/>
          </w:tcPr>
          <w:p>
            <w:pPr>
              <w:spacing w:after="40"/>
            </w:pPr>
            <w:r>
              <w:rPr>
                <w:rFonts w:ascii="Aptos" w:hAnsi="Aptos"/>
                <w:color w:val="10243E"/>
                <w:sz w:val="15"/>
              </w:rPr>
              <w:t>Logic bomb</w:t>
            </w:r>
          </w:p>
        </w:tc>
        <w:tc>
          <w:tcPr>
            <w:tcW w:type="dxa" w:w="2951"/>
            <w:vAlign w:val="top"/>
          </w:tcPr>
          <w:p>
            <w:pPr>
              <w:spacing w:after="40"/>
            </w:pPr>
            <w:r>
              <w:rPr>
                <w:rFonts w:ascii="Aptos" w:hAnsi="Aptos"/>
                <w:color w:val="10243E"/>
                <w:sz w:val="15"/>
              </w:rPr>
              <w:t>Triggers a malicious action when a condition is met</w:t>
            </w:r>
          </w:p>
        </w:tc>
        <w:tc>
          <w:tcPr>
            <w:tcW w:type="dxa" w:w="2951"/>
            <w:vAlign w:val="top"/>
          </w:tcPr>
          <w:p>
            <w:pPr>
              <w:spacing w:after="40"/>
            </w:pPr>
            <w:r>
              <w:rPr>
                <w:rFonts w:ascii="Aptos" w:hAnsi="Aptos"/>
                <w:color w:val="10243E"/>
                <w:sz w:val="15"/>
              </w:rPr>
              <w:t>Scheduled or conditional destructive code</w:t>
            </w:r>
          </w:p>
        </w:tc>
        <w:tc>
          <w:tcPr>
            <w:tcW w:type="dxa" w:w="2880"/>
            <w:vAlign w:val="top"/>
          </w:tcPr>
          <w:p>
            <w:pPr>
              <w:spacing w:after="40"/>
            </w:pPr>
            <w:r>
              <w:rPr>
                <w:rFonts w:ascii="Aptos" w:hAnsi="Aptos"/>
                <w:color w:val="10243E"/>
                <w:sz w:val="15"/>
              </w:rPr>
              <w:t>Code review, least privilege, change control</w:t>
            </w:r>
          </w:p>
        </w:tc>
      </w:tr>
      <w:tr>
        <w:trPr>
          <w:cantSplit/>
        </w:trPr>
        <w:tc>
          <w:tcPr>
            <w:tcW w:type="dxa" w:w="1296"/>
            <w:vAlign w:val="top"/>
          </w:tcPr>
          <w:p>
            <w:pPr>
              <w:spacing w:after="40"/>
            </w:pPr>
            <w:r>
              <w:rPr>
                <w:rFonts w:ascii="Aptos" w:hAnsi="Aptos"/>
                <w:color w:val="10243E"/>
                <w:sz w:val="15"/>
              </w:rPr>
              <w:t>Adware</w:t>
            </w:r>
          </w:p>
        </w:tc>
        <w:tc>
          <w:tcPr>
            <w:tcW w:type="dxa" w:w="2951"/>
            <w:vAlign w:val="top"/>
          </w:tcPr>
          <w:p>
            <w:pPr>
              <w:spacing w:after="40"/>
            </w:pPr>
            <w:r>
              <w:rPr>
                <w:rFonts w:ascii="Aptos" w:hAnsi="Aptos"/>
                <w:color w:val="10243E"/>
                <w:sz w:val="15"/>
              </w:rPr>
              <w:t>Displays intrusive advertising and may track browsing or alter settings</w:t>
            </w:r>
          </w:p>
        </w:tc>
        <w:tc>
          <w:tcPr>
            <w:tcW w:type="dxa" w:w="2951"/>
            <w:vAlign w:val="top"/>
          </w:tcPr>
          <w:p>
            <w:pPr>
              <w:spacing w:after="40"/>
            </w:pPr>
            <w:r>
              <w:rPr>
                <w:rFonts w:ascii="Aptos" w:hAnsi="Aptos"/>
                <w:color w:val="10243E"/>
                <w:sz w:val="15"/>
              </w:rPr>
              <w:t>Persistent pop-ups, redirects and unwanted extensions</w:t>
            </w:r>
          </w:p>
        </w:tc>
        <w:tc>
          <w:tcPr>
            <w:tcW w:type="dxa" w:w="2880"/>
            <w:vAlign w:val="top"/>
          </w:tcPr>
          <w:p>
            <w:pPr>
              <w:spacing w:after="40"/>
            </w:pPr>
            <w:r>
              <w:rPr>
                <w:rFonts w:ascii="Aptos" w:hAnsi="Aptos"/>
                <w:color w:val="10243E"/>
                <w:sz w:val="15"/>
              </w:rPr>
              <w:t>Remove unwanted software, review permissions, use trusted sources</w:t>
            </w:r>
          </w:p>
        </w:tc>
      </w:tr>
      <w:tr>
        <w:trPr>
          <w:cantSplit/>
        </w:trPr>
        <w:tc>
          <w:tcPr>
            <w:tcW w:type="dxa" w:w="1296"/>
            <w:vAlign w:val="top"/>
          </w:tcPr>
          <w:p>
            <w:pPr>
              <w:spacing w:after="40"/>
            </w:pPr>
            <w:r>
              <w:rPr>
                <w:rFonts w:ascii="Aptos" w:hAnsi="Aptos"/>
                <w:color w:val="10243E"/>
                <w:sz w:val="15"/>
              </w:rPr>
              <w:t>Keylogger</w:t>
            </w:r>
          </w:p>
        </w:tc>
        <w:tc>
          <w:tcPr>
            <w:tcW w:type="dxa" w:w="2951"/>
            <w:vAlign w:val="top"/>
          </w:tcPr>
          <w:p>
            <w:pPr>
              <w:spacing w:after="40"/>
            </w:pPr>
            <w:r>
              <w:rPr>
                <w:rFonts w:ascii="Aptos" w:hAnsi="Aptos"/>
                <w:color w:val="10243E"/>
                <w:sz w:val="15"/>
              </w:rPr>
              <w:t>Records keystrokes to capture credentials and sensitive input</w:t>
            </w:r>
          </w:p>
        </w:tc>
        <w:tc>
          <w:tcPr>
            <w:tcW w:type="dxa" w:w="2951"/>
            <w:vAlign w:val="top"/>
          </w:tcPr>
          <w:p>
            <w:pPr>
              <w:spacing w:after="40"/>
            </w:pPr>
            <w:r>
              <w:rPr>
                <w:rFonts w:ascii="Aptos" w:hAnsi="Aptos"/>
                <w:color w:val="10243E"/>
                <w:sz w:val="15"/>
              </w:rPr>
              <w:t>Unexplained input hooks, suspicious processes or credential theft</w:t>
            </w:r>
          </w:p>
        </w:tc>
        <w:tc>
          <w:tcPr>
            <w:tcW w:type="dxa" w:w="2880"/>
            <w:vAlign w:val="top"/>
          </w:tcPr>
          <w:p>
            <w:pPr>
              <w:spacing w:after="40"/>
            </w:pPr>
            <w:r>
              <w:rPr>
                <w:rFonts w:ascii="Aptos" w:hAnsi="Aptos"/>
                <w:color w:val="10243E"/>
                <w:sz w:val="15"/>
              </w:rPr>
              <w:t>Endpoint protection, MFA, safe rebuild and credential reset</w:t>
            </w:r>
          </w:p>
        </w:tc>
      </w:tr>
      <w:tr>
        <w:trPr>
          <w:cantSplit/>
        </w:trPr>
        <w:tc>
          <w:tcPr>
            <w:tcW w:type="dxa" w:w="1296"/>
            <w:vAlign w:val="top"/>
          </w:tcPr>
          <w:p>
            <w:pPr>
              <w:spacing w:after="40"/>
            </w:pPr>
            <w:r>
              <w:rPr>
                <w:rFonts w:ascii="Aptos" w:hAnsi="Aptos"/>
                <w:color w:val="10243E"/>
                <w:sz w:val="15"/>
              </w:rPr>
              <w:t>Fileless malware</w:t>
            </w:r>
          </w:p>
        </w:tc>
        <w:tc>
          <w:tcPr>
            <w:tcW w:type="dxa" w:w="2951"/>
            <w:vAlign w:val="top"/>
          </w:tcPr>
          <w:p>
            <w:pPr>
              <w:spacing w:after="40"/>
            </w:pPr>
            <w:r>
              <w:rPr>
                <w:rFonts w:ascii="Aptos" w:hAnsi="Aptos"/>
                <w:color w:val="10243E"/>
                <w:sz w:val="15"/>
              </w:rPr>
              <w:t>Abuses memory and legitimate administration tools instead of relying on a normal file</w:t>
            </w:r>
          </w:p>
        </w:tc>
        <w:tc>
          <w:tcPr>
            <w:tcW w:type="dxa" w:w="2951"/>
            <w:vAlign w:val="top"/>
          </w:tcPr>
          <w:p>
            <w:pPr>
              <w:spacing w:after="40"/>
            </w:pPr>
            <w:r>
              <w:rPr>
                <w:rFonts w:ascii="Aptos" w:hAnsi="Aptos"/>
                <w:color w:val="10243E"/>
                <w:sz w:val="15"/>
              </w:rPr>
              <w:t>Unexpected PowerShell, script hosts, encoded commands or memory activity</w:t>
            </w:r>
          </w:p>
        </w:tc>
        <w:tc>
          <w:tcPr>
            <w:tcW w:type="dxa" w:w="2880"/>
            <w:vAlign w:val="top"/>
          </w:tcPr>
          <w:p>
            <w:pPr>
              <w:spacing w:after="40"/>
            </w:pPr>
            <w:r>
              <w:rPr>
                <w:rFonts w:ascii="Aptos" w:hAnsi="Aptos"/>
                <w:color w:val="10243E"/>
                <w:sz w:val="15"/>
              </w:rPr>
              <w:t>Restrict scripting, monitor behaviour, least privilege, EDR</w:t>
            </w:r>
          </w:p>
        </w:tc>
      </w:tr>
      <w:tr>
        <w:trPr>
          <w:cantSplit/>
        </w:trPr>
        <w:tc>
          <w:tcPr>
            <w:tcW w:type="dxa" w:w="1296"/>
            <w:vAlign w:val="top"/>
          </w:tcPr>
          <w:p>
            <w:pPr>
              <w:spacing w:after="40"/>
            </w:pPr>
            <w:r>
              <w:rPr>
                <w:rFonts w:ascii="Aptos" w:hAnsi="Aptos"/>
                <w:color w:val="10243E"/>
                <w:sz w:val="15"/>
              </w:rPr>
              <w:t>Cryptojacker</w:t>
            </w:r>
          </w:p>
        </w:tc>
        <w:tc>
          <w:tcPr>
            <w:tcW w:type="dxa" w:w="2951"/>
            <w:vAlign w:val="top"/>
          </w:tcPr>
          <w:p>
            <w:pPr>
              <w:spacing w:after="40"/>
            </w:pPr>
            <w:r>
              <w:rPr>
                <w:rFonts w:ascii="Aptos" w:hAnsi="Aptos"/>
                <w:color w:val="10243E"/>
                <w:sz w:val="15"/>
              </w:rPr>
              <w:t>Hijacks computing resources to mine cryptocurrency</w:t>
            </w:r>
          </w:p>
        </w:tc>
        <w:tc>
          <w:tcPr>
            <w:tcW w:type="dxa" w:w="2951"/>
            <w:vAlign w:val="top"/>
          </w:tcPr>
          <w:p>
            <w:pPr>
              <w:spacing w:after="40"/>
            </w:pPr>
            <w:r>
              <w:rPr>
                <w:rFonts w:ascii="Aptos" w:hAnsi="Aptos"/>
                <w:color w:val="10243E"/>
                <w:sz w:val="15"/>
              </w:rPr>
              <w:t>High CPU or cloud cost, overheating and unknown mining connections</w:t>
            </w:r>
          </w:p>
        </w:tc>
        <w:tc>
          <w:tcPr>
            <w:tcW w:type="dxa" w:w="2880"/>
            <w:vAlign w:val="top"/>
          </w:tcPr>
          <w:p>
            <w:pPr>
              <w:spacing w:after="40"/>
            </w:pPr>
            <w:r>
              <w:rPr>
                <w:rFonts w:ascii="Aptos" w:hAnsi="Aptos"/>
                <w:color w:val="10243E"/>
                <w:sz w:val="15"/>
              </w:rPr>
              <w:t>Patch entry points, control scripts, monitor resource use and cloud spend</w:t>
            </w:r>
          </w:p>
        </w:tc>
      </w:tr>
    </w:tbl>
    <w:p>
      <w:pPr>
        <w:pStyle w:val="Heading3"/>
      </w:pPr>
      <w:r>
        <w:t>Malware family explanations</w:t>
      </w:r>
    </w:p>
    <w:p>
      <w:r>
        <w:rPr>
          <w:b/>
        </w:rPr>
        <w:t xml:space="preserve">Virus. </w:t>
      </w:r>
      <w:r>
        <w:t xml:space="preserve">Behaviour: Attaches to a host file and executes when the file runs. Observable evidence: Unexpected file changes; antivirus detections. First defensive priority: Block execution, isolate, restore clean copies. </w:t>
      </w:r>
      <w:r>
        <w:rPr>
          <w:i/>
        </w:rPr>
        <w:t>Treat the label as a working hypothesis until multiple sources of evidence agree.</w:t>
      </w:r>
    </w:p>
    <w:p>
      <w:r>
        <w:rPr>
          <w:b/>
        </w:rPr>
        <w:t xml:space="preserve">Worm. </w:t>
      </w:r>
      <w:r>
        <w:t xml:space="preserve">Behaviour: Self-propagates across reachable systems. Observable evidence: Rapid scanning and repeated connections. First defensive priority: Segment, patch, isolate affected segments. </w:t>
      </w:r>
      <w:r>
        <w:rPr>
          <w:i/>
        </w:rPr>
        <w:t>Treat the label as a working hypothesis until multiple sources of evidence agree.</w:t>
      </w:r>
    </w:p>
    <w:p>
      <w:r>
        <w:rPr>
          <w:b/>
        </w:rPr>
        <w:t xml:space="preserve">Trojan. </w:t>
      </w:r>
      <w:r>
        <w:t xml:space="preserve">Behaviour: Disguises malicious capability as legitimate software. Observable evidence: Untrusted installer, new process or persistence. First defensive priority: Application control, trusted sources, EDR. </w:t>
      </w:r>
      <w:r>
        <w:rPr>
          <w:i/>
        </w:rPr>
        <w:t>Treat the label as a working hypothesis until multiple sources of evidence agree.</w:t>
      </w:r>
    </w:p>
    <w:p>
      <w:r>
        <w:rPr>
          <w:b/>
        </w:rPr>
        <w:t xml:space="preserve">Ransomware. </w:t>
      </w:r>
      <w:r>
        <w:t xml:space="preserve">Behaviour: Encrypts or disrupts systems and demands payment. Observable evidence: File extensions change, ransom note, unavailable services. First defensive priority: Isolate, preserve evidence, activate response and recovery. </w:t>
      </w:r>
      <w:r>
        <w:rPr>
          <w:i/>
        </w:rPr>
        <w:t>Treat the label as a working hypothesis until multiple sources of evidence agree.</w:t>
      </w:r>
    </w:p>
    <w:p>
      <w:r>
        <w:rPr>
          <w:b/>
        </w:rPr>
        <w:t xml:space="preserve">Spyware. </w:t>
      </w:r>
      <w:r>
        <w:t xml:space="preserve">Behaviour: Collects activity, credentials or data covertly. Observable evidence: Browser changes, unusual outbound traffic. First defensive priority: Remove persistence, reset credentials safely. </w:t>
      </w:r>
      <w:r>
        <w:rPr>
          <w:i/>
        </w:rPr>
        <w:t>Treat the label as a working hypothesis until multiple sources of evidence agree.</w:t>
      </w:r>
    </w:p>
    <w:p>
      <w:r>
        <w:rPr>
          <w:b/>
        </w:rPr>
        <w:t xml:space="preserve">Rootkit. </w:t>
      </w:r>
      <w:r>
        <w:t xml:space="preserve">Behaviour: Hides privileged malicious activity. Observable evidence: Integrity anomalies, unexplained privileged changes. First defensive priority: Offline investigation, rebuild trusted baseline. </w:t>
      </w:r>
      <w:r>
        <w:rPr>
          <w:i/>
        </w:rPr>
        <w:t>Treat the label as a working hypothesis until multiple sources of evidence agree.</w:t>
      </w:r>
    </w:p>
    <w:p>
      <w:r>
        <w:rPr>
          <w:b/>
        </w:rPr>
        <w:t xml:space="preserve">Bot. </w:t>
      </w:r>
      <w:r>
        <w:t xml:space="preserve">Behaviour: Places a device under remote command. Observable evidence: Beaconing, DDoS or spam activity. First defensive priority: Block command-and-control, isolate, remediate. </w:t>
      </w:r>
      <w:r>
        <w:rPr>
          <w:i/>
        </w:rPr>
        <w:t>Treat the label as a working hypothesis until multiple sources of evidence agree.</w:t>
      </w:r>
    </w:p>
    <w:p>
      <w:r>
        <w:rPr>
          <w:b/>
        </w:rPr>
        <w:t xml:space="preserve">Logic bomb. </w:t>
      </w:r>
      <w:r>
        <w:t xml:space="preserve">Behaviour: Triggers a malicious action when a condition is met. Observable evidence: Scheduled or conditional destructive code. First defensive priority: Code review, least privilege, change control. </w:t>
      </w:r>
      <w:r>
        <w:rPr>
          <w:i/>
        </w:rPr>
        <w:t>Treat the label as a working hypothesis until multiple sources of evidence agree.</w:t>
      </w:r>
    </w:p>
    <w:p>
      <w:r>
        <w:rPr>
          <w:b/>
        </w:rPr>
        <w:t xml:space="preserve">Adware. </w:t>
      </w:r>
      <w:r>
        <w:t xml:space="preserve">Behaviour: Displays intrusive advertising and may track browsing or alter settings. Observable evidence: Persistent pop-ups, redirects and unwanted extensions. First defensive priority: Remove unwanted software, review permissions, use trusted sources. </w:t>
      </w:r>
      <w:r>
        <w:rPr>
          <w:i/>
        </w:rPr>
        <w:t>Treat the label as a working hypothesis until multiple sources of evidence agree.</w:t>
      </w:r>
    </w:p>
    <w:p>
      <w:r>
        <w:rPr>
          <w:b/>
        </w:rPr>
        <w:t xml:space="preserve">Keylogger. </w:t>
      </w:r>
      <w:r>
        <w:t xml:space="preserve">Behaviour: Records keystrokes to capture credentials and sensitive input. Observable evidence: Unexplained input hooks, suspicious processes or credential theft. First defensive priority: Endpoint protection, MFA, safe rebuild and credential reset. </w:t>
      </w:r>
      <w:r>
        <w:rPr>
          <w:i/>
        </w:rPr>
        <w:t>Treat the label as a working hypothesis until multiple sources of evidence agree.</w:t>
      </w:r>
    </w:p>
    <w:p>
      <w:r>
        <w:rPr>
          <w:b/>
        </w:rPr>
        <w:t xml:space="preserve">Fileless malware. </w:t>
      </w:r>
      <w:r>
        <w:t xml:space="preserve">Behaviour: Abuses memory and legitimate administration tools instead of relying on a normal file. Observable evidence: Unexpected PowerShell, script hosts, encoded commands or memory activity. First defensive priority: Restrict scripting, monitor behaviour, least privilege, EDR. </w:t>
      </w:r>
      <w:r>
        <w:rPr>
          <w:i/>
        </w:rPr>
        <w:t>Treat the label as a working hypothesis until multiple sources of evidence agree.</w:t>
      </w:r>
    </w:p>
    <w:p>
      <w:r>
        <w:rPr>
          <w:b/>
        </w:rPr>
        <w:t xml:space="preserve">Cryptojacker. </w:t>
      </w:r>
      <w:r>
        <w:t xml:space="preserve">Behaviour: Hijacks computing resources to mine cryptocurrency. Observable evidence: High CPU or cloud cost, overheating and unknown mining connections. First defensive priority: Patch entry points, control scripts, monitor resource use and cloud spend. </w:t>
      </w:r>
      <w:r>
        <w:rPr>
          <w:i/>
        </w:rPr>
        <w:t>Treat the label as a working hypothesis until multiple sources of evidence agree.</w:t>
      </w:r>
    </w:p>
    <w:p>
      <w:r>
        <w:t>Do not diagnose from one symptom. Separate observable facts from the hypothesis, preserve evidence, and escalate when the potential impact is high or the activity may be spreading.</w:t>
      </w:r>
    </w:p>
    <w:p>
      <w:pPr>
        <w:spacing w:before="80" w:after="120"/>
      </w:pPr>
      <w:r>
        <w:rPr>
          <w:b/>
          <w:color w:val="5F6B7A"/>
          <w:sz w:val="16"/>
        </w:rPr>
        <w:t xml:space="preserve">Source: </w:t>
      </w:r>
      <w:hyperlink r:id="rId13">
        <w:r>
          <w:rPr>
            <w:color w:val="176B87"/>
            <w:u w:val="single"/>
          </w:rPr>
          <w:t>CrowdStrike — Types of malware</w:t>
        </w:r>
      </w:hyperlink>
    </w:p>
    <w:p>
      <w:pPr>
        <w:pStyle w:val="Heading2"/>
      </w:pPr>
      <w:r>
        <w:t>Social engineering and BEC</w:t>
      </w:r>
    </w:p>
    <w:p>
      <w:r>
        <w:t>Social engineering uses authority, urgency, fear, scarcity, familiarity or secrecy to change a decision. Business email compromise is especially dangerous because a message may contain no malware: the attack succeeds when a trusted workflow accepts a fraudulent instruction.</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368"/>
            <w:shd w:fill="0B2545"/>
            <w:vAlign w:val="center"/>
          </w:tcPr>
          <w:p>
            <w:r>
              <w:rPr>
                <w:b/>
                <w:color w:val="FFFFFF"/>
                <w:sz w:val="13"/>
              </w:rPr>
              <w:t>Type</w:t>
            </w:r>
          </w:p>
        </w:tc>
        <w:tc>
          <w:tcPr>
            <w:tcW w:type="dxa" w:w="2376"/>
            <w:shd w:fill="0B2545"/>
            <w:vAlign w:val="center"/>
          </w:tcPr>
          <w:p>
            <w:r>
              <w:rPr>
                <w:b/>
                <w:color w:val="FFFFFF"/>
                <w:sz w:val="13"/>
              </w:rPr>
              <w:t>Everyday example</w:t>
            </w:r>
          </w:p>
        </w:tc>
        <w:tc>
          <w:tcPr>
            <w:tcW w:type="dxa" w:w="2232"/>
            <w:shd w:fill="0B2545"/>
            <w:vAlign w:val="center"/>
          </w:tcPr>
          <w:p>
            <w:r>
              <w:rPr>
                <w:b/>
                <w:color w:val="FFFFFF"/>
                <w:sz w:val="13"/>
              </w:rPr>
              <w:t>How it works</w:t>
            </w:r>
          </w:p>
        </w:tc>
        <w:tc>
          <w:tcPr>
            <w:tcW w:type="dxa" w:w="2088"/>
            <w:shd w:fill="0B2545"/>
            <w:vAlign w:val="center"/>
          </w:tcPr>
          <w:p>
            <w:r>
              <w:rPr>
                <w:b/>
                <w:color w:val="FFFFFF"/>
                <w:sz w:val="13"/>
              </w:rPr>
              <w:t>Red flags</w:t>
            </w:r>
          </w:p>
        </w:tc>
        <w:tc>
          <w:tcPr>
            <w:tcW w:type="dxa" w:w="2015"/>
            <w:shd w:fill="0B2545"/>
            <w:vAlign w:val="center"/>
          </w:tcPr>
          <w:p>
            <w:r>
              <w:rPr>
                <w:b/>
                <w:color w:val="FFFFFF"/>
                <w:sz w:val="13"/>
              </w:rPr>
              <w:t>Safe response</w:t>
            </w:r>
          </w:p>
        </w:tc>
      </w:tr>
      <w:tr>
        <w:trPr>
          <w:cantSplit/>
        </w:trPr>
        <w:tc>
          <w:tcPr>
            <w:tcW w:type="dxa" w:w="1368"/>
            <w:vAlign w:val="top"/>
          </w:tcPr>
          <w:p>
            <w:pPr>
              <w:spacing w:after="40"/>
            </w:pPr>
            <w:r>
              <w:rPr>
                <w:rFonts w:ascii="Aptos" w:hAnsi="Aptos"/>
                <w:color w:val="10243E"/>
                <w:sz w:val="13"/>
              </w:rPr>
              <w:t>Phishing</w:t>
            </w:r>
          </w:p>
        </w:tc>
        <w:tc>
          <w:tcPr>
            <w:tcW w:type="dxa" w:w="2376"/>
            <w:vAlign w:val="top"/>
          </w:tcPr>
          <w:p>
            <w:pPr>
              <w:spacing w:after="40"/>
            </w:pPr>
            <w:r>
              <w:rPr>
                <w:rFonts w:ascii="Aptos" w:hAnsi="Aptos"/>
                <w:color w:val="10243E"/>
                <w:sz w:val="13"/>
              </w:rPr>
              <w:t>‘Your parcel is waiting. Pay S$1.20 at parcel-status.example.test within 30 minutes.’</w:t>
            </w:r>
          </w:p>
        </w:tc>
        <w:tc>
          <w:tcPr>
            <w:tcW w:type="dxa" w:w="2232"/>
            <w:vAlign w:val="top"/>
          </w:tcPr>
          <w:p>
            <w:pPr>
              <w:spacing w:after="40"/>
            </w:pPr>
            <w:r>
              <w:rPr>
                <w:rFonts w:ascii="Aptos" w:hAnsi="Aptos"/>
                <w:color w:val="10243E"/>
                <w:sz w:val="13"/>
              </w:rPr>
              <w:t>Broad deceptive email seeks clicks, credentials, payments or malware execution</w:t>
            </w:r>
          </w:p>
        </w:tc>
        <w:tc>
          <w:tcPr>
            <w:tcW w:type="dxa" w:w="2088"/>
            <w:vAlign w:val="top"/>
          </w:tcPr>
          <w:p>
            <w:pPr>
              <w:spacing w:after="40"/>
            </w:pPr>
            <w:r>
              <w:rPr>
                <w:rFonts w:ascii="Aptos" w:hAnsi="Aptos"/>
                <w:color w:val="10243E"/>
                <w:sz w:val="13"/>
              </w:rPr>
              <w:t>Generic urgency, mismatched link, unexpected attachment</w:t>
            </w:r>
          </w:p>
        </w:tc>
        <w:tc>
          <w:tcPr>
            <w:tcW w:type="dxa" w:w="2015"/>
            <w:vAlign w:val="top"/>
          </w:tcPr>
          <w:p>
            <w:pPr>
              <w:spacing w:after="40"/>
            </w:pPr>
            <w:r>
              <w:rPr>
                <w:rFonts w:ascii="Aptos" w:hAnsi="Aptos"/>
                <w:color w:val="10243E"/>
                <w:sz w:val="13"/>
              </w:rPr>
              <w:t>Use a known route to the service; report the message</w:t>
            </w:r>
          </w:p>
        </w:tc>
      </w:tr>
      <w:tr>
        <w:trPr>
          <w:cantSplit/>
        </w:trPr>
        <w:tc>
          <w:tcPr>
            <w:tcW w:type="dxa" w:w="1368"/>
            <w:vAlign w:val="top"/>
          </w:tcPr>
          <w:p>
            <w:pPr>
              <w:spacing w:after="40"/>
            </w:pPr>
            <w:r>
              <w:rPr>
                <w:rFonts w:ascii="Aptos" w:hAnsi="Aptos"/>
                <w:color w:val="10243E"/>
                <w:sz w:val="13"/>
              </w:rPr>
              <w:t>Spear phishing</w:t>
            </w:r>
          </w:p>
        </w:tc>
        <w:tc>
          <w:tcPr>
            <w:tcW w:type="dxa" w:w="2376"/>
            <w:vAlign w:val="top"/>
          </w:tcPr>
          <w:p>
            <w:pPr>
              <w:spacing w:after="40"/>
            </w:pPr>
            <w:r>
              <w:rPr>
                <w:rFonts w:ascii="Aptos" w:hAnsi="Aptos"/>
                <w:color w:val="10243E"/>
                <w:sz w:val="13"/>
              </w:rPr>
              <w:t>‘Hi Mei, I saw your Project Atlas post. Open the attached revised budget before today's client call.’</w:t>
            </w:r>
          </w:p>
        </w:tc>
        <w:tc>
          <w:tcPr>
            <w:tcW w:type="dxa" w:w="2232"/>
            <w:vAlign w:val="top"/>
          </w:tcPr>
          <w:p>
            <w:pPr>
              <w:spacing w:after="40"/>
            </w:pPr>
            <w:r>
              <w:rPr>
                <w:rFonts w:ascii="Aptos" w:hAnsi="Aptos"/>
                <w:color w:val="10243E"/>
                <w:sz w:val="13"/>
              </w:rPr>
              <w:t>A tailored message uses role, project or relationship details to appear credible</w:t>
            </w:r>
          </w:p>
        </w:tc>
        <w:tc>
          <w:tcPr>
            <w:tcW w:type="dxa" w:w="2088"/>
            <w:vAlign w:val="top"/>
          </w:tcPr>
          <w:p>
            <w:pPr>
              <w:spacing w:after="40"/>
            </w:pPr>
            <w:r>
              <w:rPr>
                <w:rFonts w:ascii="Aptos" w:hAnsi="Aptos"/>
                <w:color w:val="10243E"/>
                <w:sz w:val="13"/>
              </w:rPr>
              <w:t>Accurate context paired with an unusual request or channel</w:t>
            </w:r>
          </w:p>
        </w:tc>
        <w:tc>
          <w:tcPr>
            <w:tcW w:type="dxa" w:w="2015"/>
            <w:vAlign w:val="top"/>
          </w:tcPr>
          <w:p>
            <w:pPr>
              <w:spacing w:after="40"/>
            </w:pPr>
            <w:r>
              <w:rPr>
                <w:rFonts w:ascii="Aptos" w:hAnsi="Aptos"/>
                <w:color w:val="10243E"/>
                <w:sz w:val="13"/>
              </w:rPr>
              <w:t>Verify the request with the known person using another channel</w:t>
            </w:r>
          </w:p>
        </w:tc>
      </w:tr>
      <w:tr>
        <w:trPr>
          <w:cantSplit/>
        </w:trPr>
        <w:tc>
          <w:tcPr>
            <w:tcW w:type="dxa" w:w="1368"/>
            <w:vAlign w:val="top"/>
          </w:tcPr>
          <w:p>
            <w:pPr>
              <w:spacing w:after="40"/>
            </w:pPr>
            <w:r>
              <w:rPr>
                <w:rFonts w:ascii="Aptos" w:hAnsi="Aptos"/>
                <w:color w:val="10243E"/>
                <w:sz w:val="13"/>
              </w:rPr>
              <w:t>Whaling</w:t>
            </w:r>
          </w:p>
        </w:tc>
        <w:tc>
          <w:tcPr>
            <w:tcW w:type="dxa" w:w="2376"/>
            <w:vAlign w:val="top"/>
          </w:tcPr>
          <w:p>
            <w:pPr>
              <w:spacing w:after="40"/>
            </w:pPr>
            <w:r>
              <w:rPr>
                <w:rFonts w:ascii="Aptos" w:hAnsi="Aptos"/>
                <w:color w:val="10243E"/>
                <w:sz w:val="13"/>
              </w:rPr>
              <w:t>‘The chairman needs the confidential acquisition file now. Send it to this private address and do not copy anyone.’</w:t>
            </w:r>
          </w:p>
        </w:tc>
        <w:tc>
          <w:tcPr>
            <w:tcW w:type="dxa" w:w="2232"/>
            <w:vAlign w:val="top"/>
          </w:tcPr>
          <w:p>
            <w:pPr>
              <w:spacing w:after="40"/>
            </w:pPr>
            <w:r>
              <w:rPr>
                <w:rFonts w:ascii="Aptos" w:hAnsi="Aptos"/>
                <w:color w:val="10243E"/>
                <w:sz w:val="13"/>
              </w:rPr>
              <w:t>A high-value executive or decision-maker is specifically targeted</w:t>
            </w:r>
          </w:p>
        </w:tc>
        <w:tc>
          <w:tcPr>
            <w:tcW w:type="dxa" w:w="2088"/>
            <w:vAlign w:val="top"/>
          </w:tcPr>
          <w:p>
            <w:pPr>
              <w:spacing w:after="40"/>
            </w:pPr>
            <w:r>
              <w:rPr>
                <w:rFonts w:ascii="Aptos" w:hAnsi="Aptos"/>
                <w:color w:val="10243E"/>
                <w:sz w:val="13"/>
              </w:rPr>
              <w:t>Legal, finance or board urgency; secrecy; authority pressure</w:t>
            </w:r>
          </w:p>
        </w:tc>
        <w:tc>
          <w:tcPr>
            <w:tcW w:type="dxa" w:w="2015"/>
            <w:vAlign w:val="top"/>
          </w:tcPr>
          <w:p>
            <w:pPr>
              <w:spacing w:after="40"/>
            </w:pPr>
            <w:r>
              <w:rPr>
                <w:rFonts w:ascii="Aptos" w:hAnsi="Aptos"/>
                <w:color w:val="10243E"/>
                <w:sz w:val="13"/>
              </w:rPr>
              <w:t>Executive verification protocol and delegated dual approval</w:t>
            </w:r>
          </w:p>
        </w:tc>
      </w:tr>
      <w:tr>
        <w:trPr>
          <w:cantSplit/>
        </w:trPr>
        <w:tc>
          <w:tcPr>
            <w:tcW w:type="dxa" w:w="1368"/>
            <w:vAlign w:val="top"/>
          </w:tcPr>
          <w:p>
            <w:pPr>
              <w:spacing w:after="40"/>
            </w:pPr>
            <w:r>
              <w:rPr>
                <w:rFonts w:ascii="Aptos" w:hAnsi="Aptos"/>
                <w:color w:val="10243E"/>
                <w:sz w:val="13"/>
              </w:rPr>
              <w:t>Business email compromise</w:t>
            </w:r>
          </w:p>
        </w:tc>
        <w:tc>
          <w:tcPr>
            <w:tcW w:type="dxa" w:w="2376"/>
            <w:vAlign w:val="top"/>
          </w:tcPr>
          <w:p>
            <w:pPr>
              <w:spacing w:after="40"/>
            </w:pPr>
            <w:r>
              <w:rPr>
                <w:rFonts w:ascii="Aptos" w:hAnsi="Aptos"/>
                <w:color w:val="10243E"/>
                <w:sz w:val="13"/>
              </w:rPr>
              <w:t>‘We changed banks. Pay invoice INV-2048 to the new account today; reply only to this email.’</w:t>
            </w:r>
          </w:p>
        </w:tc>
        <w:tc>
          <w:tcPr>
            <w:tcW w:type="dxa" w:w="2232"/>
            <w:vAlign w:val="top"/>
          </w:tcPr>
          <w:p>
            <w:pPr>
              <w:spacing w:after="40"/>
            </w:pPr>
            <w:r>
              <w:rPr>
                <w:rFonts w:ascii="Aptos" w:hAnsi="Aptos"/>
                <w:color w:val="10243E"/>
                <w:sz w:val="13"/>
              </w:rPr>
              <w:t>An attacker impersonates or takes over a trusted mailbox to change a business transaction</w:t>
            </w:r>
          </w:p>
        </w:tc>
        <w:tc>
          <w:tcPr>
            <w:tcW w:type="dxa" w:w="2088"/>
            <w:vAlign w:val="top"/>
          </w:tcPr>
          <w:p>
            <w:pPr>
              <w:spacing w:after="40"/>
            </w:pPr>
            <w:r>
              <w:rPr>
                <w:rFonts w:ascii="Aptos" w:hAnsi="Aptos"/>
                <w:color w:val="10243E"/>
                <w:sz w:val="13"/>
              </w:rPr>
              <w:t>New bank details, lookalike domain, altered reply-to or unusual timing</w:t>
            </w:r>
          </w:p>
        </w:tc>
        <w:tc>
          <w:tcPr>
            <w:tcW w:type="dxa" w:w="2015"/>
            <w:vAlign w:val="top"/>
          </w:tcPr>
          <w:p>
            <w:pPr>
              <w:spacing w:after="40"/>
            </w:pPr>
            <w:r>
              <w:rPr>
                <w:rFonts w:ascii="Aptos" w:hAnsi="Aptos"/>
                <w:color w:val="10243E"/>
                <w:sz w:val="13"/>
              </w:rPr>
              <w:t>Independent call-back using stored contacts; dual approval</w:t>
            </w:r>
          </w:p>
        </w:tc>
      </w:tr>
      <w:tr>
        <w:trPr>
          <w:cantSplit/>
        </w:trPr>
        <w:tc>
          <w:tcPr>
            <w:tcW w:type="dxa" w:w="1368"/>
            <w:vAlign w:val="top"/>
          </w:tcPr>
          <w:p>
            <w:pPr>
              <w:spacing w:after="40"/>
            </w:pPr>
            <w:r>
              <w:rPr>
                <w:rFonts w:ascii="Aptos" w:hAnsi="Aptos"/>
                <w:color w:val="10243E"/>
                <w:sz w:val="13"/>
              </w:rPr>
              <w:t>Smishing</w:t>
            </w:r>
          </w:p>
        </w:tc>
        <w:tc>
          <w:tcPr>
            <w:tcW w:type="dxa" w:w="2376"/>
            <w:vAlign w:val="top"/>
          </w:tcPr>
          <w:p>
            <w:pPr>
              <w:spacing w:after="40"/>
            </w:pPr>
            <w:r>
              <w:rPr>
                <w:rFonts w:ascii="Aptos" w:hAnsi="Aptos"/>
                <w:color w:val="10243E"/>
                <w:sz w:val="13"/>
              </w:rPr>
              <w:t>‘Bank alert: your account is locked. Tap bank-verify.example.test now.’</w:t>
            </w:r>
          </w:p>
        </w:tc>
        <w:tc>
          <w:tcPr>
            <w:tcW w:type="dxa" w:w="2232"/>
            <w:vAlign w:val="top"/>
          </w:tcPr>
          <w:p>
            <w:pPr>
              <w:spacing w:after="40"/>
            </w:pPr>
            <w:r>
              <w:rPr>
                <w:rFonts w:ascii="Aptos" w:hAnsi="Aptos"/>
                <w:color w:val="10243E"/>
                <w:sz w:val="13"/>
              </w:rPr>
              <w:t>SMS or messaging platforms deliver fraudulent links, codes or support requests</w:t>
            </w:r>
          </w:p>
        </w:tc>
        <w:tc>
          <w:tcPr>
            <w:tcW w:type="dxa" w:w="2088"/>
            <w:vAlign w:val="top"/>
          </w:tcPr>
          <w:p>
            <w:pPr>
              <w:spacing w:after="40"/>
            </w:pPr>
            <w:r>
              <w:rPr>
                <w:rFonts w:ascii="Aptos" w:hAnsi="Aptos"/>
                <w:color w:val="10243E"/>
                <w:sz w:val="13"/>
              </w:rPr>
              <w:t>Delivery, bank or government lure with shortened link and urgency</w:t>
            </w:r>
          </w:p>
        </w:tc>
        <w:tc>
          <w:tcPr>
            <w:tcW w:type="dxa" w:w="2015"/>
            <w:vAlign w:val="top"/>
          </w:tcPr>
          <w:p>
            <w:pPr>
              <w:spacing w:after="40"/>
            </w:pPr>
            <w:r>
              <w:rPr>
                <w:rFonts w:ascii="Aptos" w:hAnsi="Aptos"/>
                <w:color w:val="10243E"/>
                <w:sz w:val="13"/>
              </w:rPr>
              <w:t>Open the official app or known website instead of the message link</w:t>
            </w:r>
          </w:p>
        </w:tc>
      </w:tr>
      <w:tr>
        <w:trPr>
          <w:cantSplit/>
        </w:trPr>
        <w:tc>
          <w:tcPr>
            <w:tcW w:type="dxa" w:w="1368"/>
            <w:vAlign w:val="top"/>
          </w:tcPr>
          <w:p>
            <w:pPr>
              <w:spacing w:after="40"/>
            </w:pPr>
            <w:r>
              <w:rPr>
                <w:rFonts w:ascii="Aptos" w:hAnsi="Aptos"/>
                <w:color w:val="10243E"/>
                <w:sz w:val="13"/>
              </w:rPr>
              <w:t>Vishing</w:t>
            </w:r>
          </w:p>
        </w:tc>
        <w:tc>
          <w:tcPr>
            <w:tcW w:type="dxa" w:w="2376"/>
            <w:vAlign w:val="top"/>
          </w:tcPr>
          <w:p>
            <w:pPr>
              <w:spacing w:after="40"/>
            </w:pPr>
            <w:r>
              <w:rPr>
                <w:rFonts w:ascii="Aptos" w:hAnsi="Aptos"/>
                <w:color w:val="10243E"/>
                <w:sz w:val="13"/>
              </w:rPr>
              <w:t>‘I'm from the bank fraud team. Read me the six-digit code so I can cancel the transfer.’</w:t>
            </w:r>
          </w:p>
        </w:tc>
        <w:tc>
          <w:tcPr>
            <w:tcW w:type="dxa" w:w="2232"/>
            <w:vAlign w:val="top"/>
          </w:tcPr>
          <w:p>
            <w:pPr>
              <w:spacing w:after="40"/>
            </w:pPr>
            <w:r>
              <w:rPr>
                <w:rFonts w:ascii="Aptos" w:hAnsi="Aptos"/>
                <w:color w:val="10243E"/>
                <w:sz w:val="13"/>
              </w:rPr>
              <w:t>A caller impersonates authority, support, a bank or a colleague to obtain action or secrets</w:t>
            </w:r>
          </w:p>
        </w:tc>
        <w:tc>
          <w:tcPr>
            <w:tcW w:type="dxa" w:w="2088"/>
            <w:vAlign w:val="top"/>
          </w:tcPr>
          <w:p>
            <w:pPr>
              <w:spacing w:after="40"/>
            </w:pPr>
            <w:r>
              <w:rPr>
                <w:rFonts w:ascii="Aptos" w:hAnsi="Aptos"/>
                <w:color w:val="10243E"/>
                <w:sz w:val="13"/>
              </w:rPr>
              <w:t>Caller pressure, request for codes, remote access or immediate payment</w:t>
            </w:r>
          </w:p>
        </w:tc>
        <w:tc>
          <w:tcPr>
            <w:tcW w:type="dxa" w:w="2015"/>
            <w:vAlign w:val="top"/>
          </w:tcPr>
          <w:p>
            <w:pPr>
              <w:spacing w:after="40"/>
            </w:pPr>
            <w:r>
              <w:rPr>
                <w:rFonts w:ascii="Aptos" w:hAnsi="Aptos"/>
                <w:color w:val="10243E"/>
                <w:sz w:val="13"/>
              </w:rPr>
              <w:t>End the call and dial a known official number</w:t>
            </w:r>
          </w:p>
        </w:tc>
      </w:tr>
      <w:tr>
        <w:trPr>
          <w:cantSplit/>
        </w:trPr>
        <w:tc>
          <w:tcPr>
            <w:tcW w:type="dxa" w:w="1368"/>
            <w:vAlign w:val="top"/>
          </w:tcPr>
          <w:p>
            <w:pPr>
              <w:spacing w:after="40"/>
            </w:pPr>
            <w:r>
              <w:rPr>
                <w:rFonts w:ascii="Aptos" w:hAnsi="Aptos"/>
                <w:color w:val="10243E"/>
                <w:sz w:val="13"/>
              </w:rPr>
              <w:t>QR phishing / quishing</w:t>
            </w:r>
          </w:p>
        </w:tc>
        <w:tc>
          <w:tcPr>
            <w:tcW w:type="dxa" w:w="2376"/>
            <w:vAlign w:val="top"/>
          </w:tcPr>
          <w:p>
            <w:pPr>
              <w:spacing w:after="40"/>
            </w:pPr>
            <w:r>
              <w:rPr>
                <w:rFonts w:ascii="Aptos" w:hAnsi="Aptos"/>
                <w:color w:val="10243E"/>
                <w:sz w:val="13"/>
              </w:rPr>
              <w:t>A parking notice says ‘Scan to avoid a fine’, but the QR destination is pay-parking.example.test.</w:t>
            </w:r>
          </w:p>
        </w:tc>
        <w:tc>
          <w:tcPr>
            <w:tcW w:type="dxa" w:w="2232"/>
            <w:vAlign w:val="top"/>
          </w:tcPr>
          <w:p>
            <w:pPr>
              <w:spacing w:after="40"/>
            </w:pPr>
            <w:r>
              <w:rPr>
                <w:rFonts w:ascii="Aptos" w:hAnsi="Aptos"/>
                <w:color w:val="10243E"/>
                <w:sz w:val="13"/>
              </w:rPr>
              <w:t>A QR code hides the destination and moves the victim onto a mobile browser</w:t>
            </w:r>
          </w:p>
        </w:tc>
        <w:tc>
          <w:tcPr>
            <w:tcW w:type="dxa" w:w="2088"/>
            <w:vAlign w:val="top"/>
          </w:tcPr>
          <w:p>
            <w:pPr>
              <w:spacing w:after="40"/>
            </w:pPr>
            <w:r>
              <w:rPr>
                <w:rFonts w:ascii="Aptos" w:hAnsi="Aptos"/>
                <w:color w:val="10243E"/>
                <w:sz w:val="13"/>
              </w:rPr>
              <w:t>Unsolicited QR code near payment, login, parking or document access</w:t>
            </w:r>
          </w:p>
        </w:tc>
        <w:tc>
          <w:tcPr>
            <w:tcW w:type="dxa" w:w="2015"/>
            <w:vAlign w:val="top"/>
          </w:tcPr>
          <w:p>
            <w:pPr>
              <w:spacing w:after="40"/>
            </w:pPr>
            <w:r>
              <w:rPr>
                <w:rFonts w:ascii="Aptos" w:hAnsi="Aptos"/>
                <w:color w:val="10243E"/>
                <w:sz w:val="13"/>
              </w:rPr>
              <w:t>Preview the destination; use a known app or typed address</w:t>
            </w:r>
          </w:p>
        </w:tc>
      </w:tr>
      <w:tr>
        <w:trPr>
          <w:cantSplit/>
        </w:trPr>
        <w:tc>
          <w:tcPr>
            <w:tcW w:type="dxa" w:w="1368"/>
            <w:vAlign w:val="top"/>
          </w:tcPr>
          <w:p>
            <w:pPr>
              <w:spacing w:after="40"/>
            </w:pPr>
            <w:r>
              <w:rPr>
                <w:rFonts w:ascii="Aptos" w:hAnsi="Aptos"/>
                <w:color w:val="10243E"/>
                <w:sz w:val="13"/>
              </w:rPr>
              <w:t>Pretexting</w:t>
            </w:r>
          </w:p>
        </w:tc>
        <w:tc>
          <w:tcPr>
            <w:tcW w:type="dxa" w:w="2376"/>
            <w:vAlign w:val="top"/>
          </w:tcPr>
          <w:p>
            <w:pPr>
              <w:spacing w:after="40"/>
            </w:pPr>
            <w:r>
              <w:rPr>
                <w:rFonts w:ascii="Aptos" w:hAnsi="Aptos"/>
                <w:color w:val="10243E"/>
                <w:sz w:val="13"/>
              </w:rPr>
              <w:t>A caller claims to be a new auditor and asks for the staff list and VPN guide ‘for tomorrow's inspection’.</w:t>
            </w:r>
          </w:p>
        </w:tc>
        <w:tc>
          <w:tcPr>
            <w:tcW w:type="dxa" w:w="2232"/>
            <w:vAlign w:val="top"/>
          </w:tcPr>
          <w:p>
            <w:pPr>
              <w:spacing w:after="40"/>
            </w:pPr>
            <w:r>
              <w:rPr>
                <w:rFonts w:ascii="Aptos" w:hAnsi="Aptos"/>
                <w:color w:val="10243E"/>
                <w:sz w:val="13"/>
              </w:rPr>
              <w:t>A fabricated role and story creates a reason to disclose data or bypass process</w:t>
            </w:r>
          </w:p>
        </w:tc>
        <w:tc>
          <w:tcPr>
            <w:tcW w:type="dxa" w:w="2088"/>
            <w:vAlign w:val="top"/>
          </w:tcPr>
          <w:p>
            <w:pPr>
              <w:spacing w:after="40"/>
            </w:pPr>
            <w:r>
              <w:rPr>
                <w:rFonts w:ascii="Aptos" w:hAnsi="Aptos"/>
                <w:color w:val="10243E"/>
                <w:sz w:val="13"/>
              </w:rPr>
              <w:t>Detailed story but weak entitlement, unusual data request or exception</w:t>
            </w:r>
          </w:p>
        </w:tc>
        <w:tc>
          <w:tcPr>
            <w:tcW w:type="dxa" w:w="2015"/>
            <w:vAlign w:val="top"/>
          </w:tcPr>
          <w:p>
            <w:pPr>
              <w:spacing w:after="40"/>
            </w:pPr>
            <w:r>
              <w:rPr>
                <w:rFonts w:ascii="Aptos" w:hAnsi="Aptos"/>
                <w:color w:val="10243E"/>
                <w:sz w:val="13"/>
              </w:rPr>
              <w:t>Verify identity, authority and need-to-know separately</w:t>
            </w:r>
          </w:p>
        </w:tc>
      </w:tr>
      <w:tr>
        <w:trPr>
          <w:cantSplit/>
        </w:trPr>
        <w:tc>
          <w:tcPr>
            <w:tcW w:type="dxa" w:w="1368"/>
            <w:vAlign w:val="top"/>
          </w:tcPr>
          <w:p>
            <w:pPr>
              <w:spacing w:after="40"/>
            </w:pPr>
            <w:r>
              <w:rPr>
                <w:rFonts w:ascii="Aptos" w:hAnsi="Aptos"/>
                <w:color w:val="10243E"/>
                <w:sz w:val="13"/>
              </w:rPr>
              <w:t>Baiting</w:t>
            </w:r>
          </w:p>
        </w:tc>
        <w:tc>
          <w:tcPr>
            <w:tcW w:type="dxa" w:w="2376"/>
            <w:vAlign w:val="top"/>
          </w:tcPr>
          <w:p>
            <w:pPr>
              <w:spacing w:after="40"/>
            </w:pPr>
            <w:r>
              <w:rPr>
                <w:rFonts w:ascii="Aptos" w:hAnsi="Aptos"/>
                <w:color w:val="10243E"/>
                <w:sz w:val="13"/>
              </w:rPr>
              <w:t>A USB labelled ‘2026 Salary Review’ is left beside the office printer.</w:t>
            </w:r>
          </w:p>
        </w:tc>
        <w:tc>
          <w:tcPr>
            <w:tcW w:type="dxa" w:w="2232"/>
            <w:vAlign w:val="top"/>
          </w:tcPr>
          <w:p>
            <w:pPr>
              <w:spacing w:after="40"/>
            </w:pPr>
            <w:r>
              <w:rPr>
                <w:rFonts w:ascii="Aptos" w:hAnsi="Aptos"/>
                <w:color w:val="10243E"/>
                <w:sz w:val="13"/>
              </w:rPr>
              <w:t>An attractive download, prize or abandoned device tempts the victim to interact</w:t>
            </w:r>
          </w:p>
        </w:tc>
        <w:tc>
          <w:tcPr>
            <w:tcW w:type="dxa" w:w="2088"/>
            <w:vAlign w:val="top"/>
          </w:tcPr>
          <w:p>
            <w:pPr>
              <w:spacing w:after="40"/>
            </w:pPr>
            <w:r>
              <w:rPr>
                <w:rFonts w:ascii="Aptos" w:hAnsi="Aptos"/>
                <w:color w:val="10243E"/>
                <w:sz w:val="13"/>
              </w:rPr>
              <w:t>Free software, found USB media or exclusive content</w:t>
            </w:r>
          </w:p>
        </w:tc>
        <w:tc>
          <w:tcPr>
            <w:tcW w:type="dxa" w:w="2015"/>
            <w:vAlign w:val="top"/>
          </w:tcPr>
          <w:p>
            <w:pPr>
              <w:spacing w:after="40"/>
            </w:pPr>
            <w:r>
              <w:rPr>
                <w:rFonts w:ascii="Aptos" w:hAnsi="Aptos"/>
                <w:color w:val="10243E"/>
                <w:sz w:val="13"/>
              </w:rPr>
              <w:t>Do not connect unknown media; use approved software sources</w:t>
            </w:r>
          </w:p>
        </w:tc>
      </w:tr>
      <w:tr>
        <w:trPr>
          <w:cantSplit/>
        </w:trPr>
        <w:tc>
          <w:tcPr>
            <w:tcW w:type="dxa" w:w="1368"/>
            <w:vAlign w:val="top"/>
          </w:tcPr>
          <w:p>
            <w:pPr>
              <w:spacing w:after="40"/>
            </w:pPr>
            <w:r>
              <w:rPr>
                <w:rFonts w:ascii="Aptos" w:hAnsi="Aptos"/>
                <w:color w:val="10243E"/>
                <w:sz w:val="13"/>
              </w:rPr>
              <w:t>Quid pro quo</w:t>
            </w:r>
          </w:p>
        </w:tc>
        <w:tc>
          <w:tcPr>
            <w:tcW w:type="dxa" w:w="2376"/>
            <w:vAlign w:val="top"/>
          </w:tcPr>
          <w:p>
            <w:pPr>
              <w:spacing w:after="40"/>
            </w:pPr>
            <w:r>
              <w:rPr>
                <w:rFonts w:ascii="Aptos" w:hAnsi="Aptos"/>
                <w:color w:val="10243E"/>
                <w:sz w:val="13"/>
              </w:rPr>
              <w:t>A stranger offers free IT support but asks you to install a remote-control app and share your login code.</w:t>
            </w:r>
          </w:p>
        </w:tc>
        <w:tc>
          <w:tcPr>
            <w:tcW w:type="dxa" w:w="2232"/>
            <w:vAlign w:val="top"/>
          </w:tcPr>
          <w:p>
            <w:pPr>
              <w:spacing w:after="40"/>
            </w:pPr>
            <w:r>
              <w:rPr>
                <w:rFonts w:ascii="Aptos" w:hAnsi="Aptos"/>
                <w:color w:val="10243E"/>
                <w:sz w:val="13"/>
              </w:rPr>
              <w:t>A promised benefit or service is exchanged for credentials, access or information</w:t>
            </w:r>
          </w:p>
        </w:tc>
        <w:tc>
          <w:tcPr>
            <w:tcW w:type="dxa" w:w="2088"/>
            <w:vAlign w:val="top"/>
          </w:tcPr>
          <w:p>
            <w:pPr>
              <w:spacing w:after="40"/>
            </w:pPr>
            <w:r>
              <w:rPr>
                <w:rFonts w:ascii="Aptos" w:hAnsi="Aptos"/>
                <w:color w:val="10243E"/>
                <w:sz w:val="13"/>
              </w:rPr>
              <w:t>Unexpected help offer that asks for a password, code or installation</w:t>
            </w:r>
          </w:p>
        </w:tc>
        <w:tc>
          <w:tcPr>
            <w:tcW w:type="dxa" w:w="2015"/>
            <w:vAlign w:val="top"/>
          </w:tcPr>
          <w:p>
            <w:pPr>
              <w:spacing w:after="40"/>
            </w:pPr>
            <w:r>
              <w:rPr>
                <w:rFonts w:ascii="Aptos" w:hAnsi="Aptos"/>
                <w:color w:val="10243E"/>
                <w:sz w:val="13"/>
              </w:rPr>
              <w:t>Use the official support channel and never disclose authenticators</w:t>
            </w:r>
          </w:p>
        </w:tc>
      </w:tr>
      <w:tr>
        <w:trPr>
          <w:cantSplit/>
        </w:trPr>
        <w:tc>
          <w:tcPr>
            <w:tcW w:type="dxa" w:w="1368"/>
            <w:vAlign w:val="top"/>
          </w:tcPr>
          <w:p>
            <w:pPr>
              <w:spacing w:after="40"/>
            </w:pPr>
            <w:r>
              <w:rPr>
                <w:rFonts w:ascii="Aptos" w:hAnsi="Aptos"/>
                <w:color w:val="10243E"/>
                <w:sz w:val="13"/>
              </w:rPr>
              <w:t>Tech-support scam</w:t>
            </w:r>
          </w:p>
        </w:tc>
        <w:tc>
          <w:tcPr>
            <w:tcW w:type="dxa" w:w="2376"/>
            <w:vAlign w:val="top"/>
          </w:tcPr>
          <w:p>
            <w:pPr>
              <w:spacing w:after="40"/>
            </w:pPr>
            <w:r>
              <w:rPr>
                <w:rFonts w:ascii="Aptos" w:hAnsi="Aptos"/>
                <w:color w:val="10243E"/>
                <w:sz w:val="13"/>
              </w:rPr>
              <w:t>A browser pop-up says ‘Virus detected—call support now’ and the caller asks for remote access.</w:t>
            </w:r>
          </w:p>
        </w:tc>
        <w:tc>
          <w:tcPr>
            <w:tcW w:type="dxa" w:w="2232"/>
            <w:vAlign w:val="top"/>
          </w:tcPr>
          <w:p>
            <w:pPr>
              <w:spacing w:after="40"/>
            </w:pPr>
            <w:r>
              <w:rPr>
                <w:rFonts w:ascii="Aptos" w:hAnsi="Aptos"/>
                <w:color w:val="10243E"/>
                <w:sz w:val="13"/>
              </w:rPr>
              <w:t>Fake support persuades the victim to install remote-control software or pay for a nonexistent problem</w:t>
            </w:r>
          </w:p>
        </w:tc>
        <w:tc>
          <w:tcPr>
            <w:tcW w:type="dxa" w:w="2088"/>
            <w:vAlign w:val="top"/>
          </w:tcPr>
          <w:p>
            <w:pPr>
              <w:spacing w:after="40"/>
            </w:pPr>
            <w:r>
              <w:rPr>
                <w:rFonts w:ascii="Aptos" w:hAnsi="Aptos"/>
                <w:color w:val="10243E"/>
                <w:sz w:val="13"/>
              </w:rPr>
              <w:t>Unsolicited warning, remote-access request and pressure to keep the call secret</w:t>
            </w:r>
          </w:p>
        </w:tc>
        <w:tc>
          <w:tcPr>
            <w:tcW w:type="dxa" w:w="2015"/>
            <w:vAlign w:val="top"/>
          </w:tcPr>
          <w:p>
            <w:pPr>
              <w:spacing w:after="40"/>
            </w:pPr>
            <w:r>
              <w:rPr>
                <w:rFonts w:ascii="Aptos" w:hAnsi="Aptos"/>
                <w:color w:val="10243E"/>
                <w:sz w:val="13"/>
              </w:rPr>
              <w:t>Disconnect, remove remote access safely and contact genuine support</w:t>
            </w:r>
          </w:p>
        </w:tc>
      </w:tr>
      <w:tr>
        <w:trPr>
          <w:cantSplit/>
        </w:trPr>
        <w:tc>
          <w:tcPr>
            <w:tcW w:type="dxa" w:w="1368"/>
            <w:vAlign w:val="top"/>
          </w:tcPr>
          <w:p>
            <w:pPr>
              <w:spacing w:after="40"/>
            </w:pPr>
            <w:r>
              <w:rPr>
                <w:rFonts w:ascii="Aptos" w:hAnsi="Aptos"/>
                <w:color w:val="10243E"/>
                <w:sz w:val="13"/>
              </w:rPr>
              <w:t>Tailgating</w:t>
            </w:r>
          </w:p>
        </w:tc>
        <w:tc>
          <w:tcPr>
            <w:tcW w:type="dxa" w:w="2376"/>
            <w:vAlign w:val="top"/>
          </w:tcPr>
          <w:p>
            <w:pPr>
              <w:spacing w:after="40"/>
            </w:pPr>
            <w:r>
              <w:rPr>
                <w:rFonts w:ascii="Aptos" w:hAnsi="Aptos"/>
                <w:color w:val="10243E"/>
                <w:sz w:val="13"/>
              </w:rPr>
              <w:t>Someone carrying boxes asks you to hold the secure door because ‘my access card is in the car’.</w:t>
            </w:r>
          </w:p>
        </w:tc>
        <w:tc>
          <w:tcPr>
            <w:tcW w:type="dxa" w:w="2232"/>
            <w:vAlign w:val="top"/>
          </w:tcPr>
          <w:p>
            <w:pPr>
              <w:spacing w:after="40"/>
            </w:pPr>
            <w:r>
              <w:rPr>
                <w:rFonts w:ascii="Aptos" w:hAnsi="Aptos"/>
                <w:color w:val="10243E"/>
                <w:sz w:val="13"/>
              </w:rPr>
              <w:t>An unauthorised person follows an authorised user through a controlled entrance</w:t>
            </w:r>
          </w:p>
        </w:tc>
        <w:tc>
          <w:tcPr>
            <w:tcW w:type="dxa" w:w="2088"/>
            <w:vAlign w:val="top"/>
          </w:tcPr>
          <w:p>
            <w:pPr>
              <w:spacing w:after="40"/>
            </w:pPr>
            <w:r>
              <w:rPr>
                <w:rFonts w:ascii="Aptos" w:hAnsi="Aptos"/>
                <w:color w:val="10243E"/>
                <w:sz w:val="13"/>
              </w:rPr>
              <w:t>Visitor avoids reception or relies on politeness and a carried object</w:t>
            </w:r>
          </w:p>
        </w:tc>
        <w:tc>
          <w:tcPr>
            <w:tcW w:type="dxa" w:w="2015"/>
            <w:vAlign w:val="top"/>
          </w:tcPr>
          <w:p>
            <w:pPr>
              <w:spacing w:after="40"/>
            </w:pPr>
            <w:r>
              <w:rPr>
                <w:rFonts w:ascii="Aptos" w:hAnsi="Aptos"/>
                <w:color w:val="10243E"/>
                <w:sz w:val="13"/>
              </w:rPr>
              <w:t>Challenge politely or escort the person to reception</w:t>
            </w:r>
          </w:p>
        </w:tc>
      </w:tr>
      <w:tr>
        <w:trPr>
          <w:cantSplit/>
        </w:trPr>
        <w:tc>
          <w:tcPr>
            <w:tcW w:type="dxa" w:w="1368"/>
            <w:vAlign w:val="top"/>
          </w:tcPr>
          <w:p>
            <w:pPr>
              <w:spacing w:after="40"/>
            </w:pPr>
            <w:r>
              <w:rPr>
                <w:rFonts w:ascii="Aptos" w:hAnsi="Aptos"/>
                <w:color w:val="10243E"/>
                <w:sz w:val="13"/>
              </w:rPr>
              <w:t>Shoulder surfing</w:t>
            </w:r>
          </w:p>
        </w:tc>
        <w:tc>
          <w:tcPr>
            <w:tcW w:type="dxa" w:w="2376"/>
            <w:vAlign w:val="top"/>
          </w:tcPr>
          <w:p>
            <w:pPr>
              <w:spacing w:after="40"/>
            </w:pPr>
            <w:r>
              <w:rPr>
                <w:rFonts w:ascii="Aptos" w:hAnsi="Aptos"/>
                <w:color w:val="10243E"/>
                <w:sz w:val="13"/>
              </w:rPr>
              <w:t>A stranger watches you enter a phone PIN on a crowded train, then follows where you keep the device.</w:t>
            </w:r>
          </w:p>
        </w:tc>
        <w:tc>
          <w:tcPr>
            <w:tcW w:type="dxa" w:w="2232"/>
            <w:vAlign w:val="top"/>
          </w:tcPr>
          <w:p>
            <w:pPr>
              <w:spacing w:after="40"/>
            </w:pPr>
            <w:r>
              <w:rPr>
                <w:rFonts w:ascii="Aptos" w:hAnsi="Aptos"/>
                <w:color w:val="10243E"/>
                <w:sz w:val="13"/>
              </w:rPr>
              <w:t>Information is observed directly from screens, keyboards, documents or conversations</w:t>
            </w:r>
          </w:p>
        </w:tc>
        <w:tc>
          <w:tcPr>
            <w:tcW w:type="dxa" w:w="2088"/>
            <w:vAlign w:val="top"/>
          </w:tcPr>
          <w:p>
            <w:pPr>
              <w:spacing w:after="40"/>
            </w:pPr>
            <w:r>
              <w:rPr>
                <w:rFonts w:ascii="Aptos" w:hAnsi="Aptos"/>
                <w:color w:val="10243E"/>
                <w:sz w:val="13"/>
              </w:rPr>
              <w:t>Crowded space, exposed screen or sensitive conversation</w:t>
            </w:r>
          </w:p>
        </w:tc>
        <w:tc>
          <w:tcPr>
            <w:tcW w:type="dxa" w:w="2015"/>
            <w:vAlign w:val="top"/>
          </w:tcPr>
          <w:p>
            <w:pPr>
              <w:spacing w:after="40"/>
            </w:pPr>
            <w:r>
              <w:rPr>
                <w:rFonts w:ascii="Aptos" w:hAnsi="Aptos"/>
                <w:color w:val="10243E"/>
                <w:sz w:val="13"/>
              </w:rPr>
              <w:t>Use privacy awareness, screen positioning and clean-desk habits</w:t>
            </w:r>
          </w:p>
        </w:tc>
      </w:tr>
      <w:tr>
        <w:trPr>
          <w:cantSplit/>
        </w:trPr>
        <w:tc>
          <w:tcPr>
            <w:tcW w:type="dxa" w:w="1368"/>
            <w:vAlign w:val="top"/>
          </w:tcPr>
          <w:p>
            <w:pPr>
              <w:spacing w:after="40"/>
            </w:pPr>
            <w:r>
              <w:rPr>
                <w:rFonts w:ascii="Aptos" w:hAnsi="Aptos"/>
                <w:color w:val="10243E"/>
                <w:sz w:val="13"/>
              </w:rPr>
              <w:t>Dumpster diving</w:t>
            </w:r>
          </w:p>
        </w:tc>
        <w:tc>
          <w:tcPr>
            <w:tcW w:type="dxa" w:w="2376"/>
            <w:vAlign w:val="top"/>
          </w:tcPr>
          <w:p>
            <w:pPr>
              <w:spacing w:after="40"/>
            </w:pPr>
            <w:r>
              <w:rPr>
                <w:rFonts w:ascii="Aptos" w:hAnsi="Aptos"/>
                <w:color w:val="10243E"/>
                <w:sz w:val="13"/>
              </w:rPr>
              <w:t>Printed customer labels and an old USB drive are placed in ordinary rubbish.</w:t>
            </w:r>
          </w:p>
        </w:tc>
        <w:tc>
          <w:tcPr>
            <w:tcW w:type="dxa" w:w="2232"/>
            <w:vAlign w:val="top"/>
          </w:tcPr>
          <w:p>
            <w:pPr>
              <w:spacing w:after="40"/>
            </w:pPr>
            <w:r>
              <w:rPr>
                <w:rFonts w:ascii="Aptos" w:hAnsi="Aptos"/>
                <w:color w:val="10243E"/>
                <w:sz w:val="13"/>
              </w:rPr>
              <w:t>Discarded documents or devices reveal identities, systems or business information</w:t>
            </w:r>
          </w:p>
        </w:tc>
        <w:tc>
          <w:tcPr>
            <w:tcW w:type="dxa" w:w="2088"/>
            <w:vAlign w:val="top"/>
          </w:tcPr>
          <w:p>
            <w:pPr>
              <w:spacing w:after="40"/>
            </w:pPr>
            <w:r>
              <w:rPr>
                <w:rFonts w:ascii="Aptos" w:hAnsi="Aptos"/>
                <w:color w:val="10243E"/>
                <w:sz w:val="13"/>
              </w:rPr>
              <w:t>Sensitive printouts, labels or storage media in normal waste</w:t>
            </w:r>
          </w:p>
        </w:tc>
        <w:tc>
          <w:tcPr>
            <w:tcW w:type="dxa" w:w="2015"/>
            <w:vAlign w:val="top"/>
          </w:tcPr>
          <w:p>
            <w:pPr>
              <w:spacing w:after="40"/>
            </w:pPr>
            <w:r>
              <w:rPr>
                <w:rFonts w:ascii="Aptos" w:hAnsi="Aptos"/>
                <w:color w:val="10243E"/>
                <w:sz w:val="13"/>
              </w:rPr>
              <w:t>Secure disposal, shredding and verified media destruction</w:t>
            </w:r>
          </w:p>
        </w:tc>
      </w:tr>
      <w:tr>
        <w:trPr>
          <w:cantSplit/>
        </w:trPr>
        <w:tc>
          <w:tcPr>
            <w:tcW w:type="dxa" w:w="1368"/>
            <w:vAlign w:val="top"/>
          </w:tcPr>
          <w:p>
            <w:pPr>
              <w:spacing w:after="40"/>
            </w:pPr>
            <w:r>
              <w:rPr>
                <w:rFonts w:ascii="Aptos" w:hAnsi="Aptos"/>
                <w:color w:val="10243E"/>
                <w:sz w:val="13"/>
              </w:rPr>
              <w:t>Watering-hole deception</w:t>
            </w:r>
          </w:p>
        </w:tc>
        <w:tc>
          <w:tcPr>
            <w:tcW w:type="dxa" w:w="2376"/>
            <w:vAlign w:val="top"/>
          </w:tcPr>
          <w:p>
            <w:pPr>
              <w:spacing w:after="40"/>
            </w:pPr>
            <w:r>
              <w:rPr>
                <w:rFonts w:ascii="Aptos" w:hAnsi="Aptos"/>
                <w:color w:val="10243E"/>
                <w:sz w:val="13"/>
              </w:rPr>
              <w:t>A familiar industry forum suddenly asks you to install a ‘document viewer’ before reading a post.</w:t>
            </w:r>
          </w:p>
        </w:tc>
        <w:tc>
          <w:tcPr>
            <w:tcW w:type="dxa" w:w="2232"/>
            <w:vAlign w:val="top"/>
          </w:tcPr>
          <w:p>
            <w:pPr>
              <w:spacing w:after="40"/>
            </w:pPr>
            <w:r>
              <w:rPr>
                <w:rFonts w:ascii="Aptos" w:hAnsi="Aptos"/>
                <w:color w:val="10243E"/>
                <w:sz w:val="13"/>
              </w:rPr>
              <w:t>A site trusted by a target community is compromised or imitated to reach that group</w:t>
            </w:r>
          </w:p>
        </w:tc>
        <w:tc>
          <w:tcPr>
            <w:tcW w:type="dxa" w:w="2088"/>
            <w:vAlign w:val="top"/>
          </w:tcPr>
          <w:p>
            <w:pPr>
              <w:spacing w:after="40"/>
            </w:pPr>
            <w:r>
              <w:rPr>
                <w:rFonts w:ascii="Aptos" w:hAnsi="Aptos"/>
                <w:color w:val="10243E"/>
                <w:sz w:val="13"/>
              </w:rPr>
              <w:t>Unexpected login, download or browser warning on a familiar niche site</w:t>
            </w:r>
          </w:p>
        </w:tc>
        <w:tc>
          <w:tcPr>
            <w:tcW w:type="dxa" w:w="2015"/>
            <w:vAlign w:val="top"/>
          </w:tcPr>
          <w:p>
            <w:pPr>
              <w:spacing w:after="40"/>
            </w:pPr>
            <w:r>
              <w:rPr>
                <w:rFonts w:ascii="Aptos" w:hAnsi="Aptos"/>
                <w:color w:val="10243E"/>
                <w:sz w:val="13"/>
              </w:rPr>
              <w:t>Patch browsers, limit execution and verify unusual site behaviour</w:t>
            </w:r>
          </w:p>
        </w:tc>
      </w:tr>
      <w:tr>
        <w:trPr>
          <w:cantSplit/>
        </w:trPr>
        <w:tc>
          <w:tcPr>
            <w:tcW w:type="dxa" w:w="1368"/>
            <w:vAlign w:val="top"/>
          </w:tcPr>
          <w:p>
            <w:pPr>
              <w:spacing w:after="40"/>
            </w:pPr>
            <w:r>
              <w:rPr>
                <w:rFonts w:ascii="Aptos" w:hAnsi="Aptos"/>
                <w:color w:val="10243E"/>
                <w:sz w:val="13"/>
              </w:rPr>
              <w:t>MFA fatigue / push bombing</w:t>
            </w:r>
          </w:p>
        </w:tc>
        <w:tc>
          <w:tcPr>
            <w:tcW w:type="dxa" w:w="2376"/>
            <w:vAlign w:val="top"/>
          </w:tcPr>
          <w:p>
            <w:pPr>
              <w:spacing w:after="40"/>
            </w:pPr>
            <w:r>
              <w:rPr>
                <w:rFonts w:ascii="Aptos" w:hAnsi="Aptos"/>
                <w:color w:val="10243E"/>
                <w:sz w:val="13"/>
              </w:rPr>
              <w:t>Your phone shows six login approvals, then ‘IT support’ calls and tells you to approve the next one.</w:t>
            </w:r>
          </w:p>
        </w:tc>
        <w:tc>
          <w:tcPr>
            <w:tcW w:type="dxa" w:w="2232"/>
            <w:vAlign w:val="top"/>
          </w:tcPr>
          <w:p>
            <w:pPr>
              <w:spacing w:after="40"/>
            </w:pPr>
            <w:r>
              <w:rPr>
                <w:rFonts w:ascii="Aptos" w:hAnsi="Aptos"/>
                <w:color w:val="10243E"/>
                <w:sz w:val="13"/>
              </w:rPr>
              <w:t>Repeated authentication prompts pressure a user to approve one to make them stop</w:t>
            </w:r>
          </w:p>
        </w:tc>
        <w:tc>
          <w:tcPr>
            <w:tcW w:type="dxa" w:w="2088"/>
            <w:vAlign w:val="top"/>
          </w:tcPr>
          <w:p>
            <w:pPr>
              <w:spacing w:after="40"/>
            </w:pPr>
            <w:r>
              <w:rPr>
                <w:rFonts w:ascii="Aptos" w:hAnsi="Aptos"/>
                <w:color w:val="10243E"/>
                <w:sz w:val="13"/>
              </w:rPr>
              <w:t>Multiple unexpected prompts followed by a call claiming to be support</w:t>
            </w:r>
          </w:p>
        </w:tc>
        <w:tc>
          <w:tcPr>
            <w:tcW w:type="dxa" w:w="2015"/>
            <w:vAlign w:val="top"/>
          </w:tcPr>
          <w:p>
            <w:pPr>
              <w:spacing w:after="40"/>
            </w:pPr>
            <w:r>
              <w:rPr>
                <w:rFonts w:ascii="Aptos" w:hAnsi="Aptos"/>
                <w:color w:val="10243E"/>
                <w:sz w:val="13"/>
              </w:rPr>
              <w:t>Deny, report, change credentials and prefer number matching or passkeys</w:t>
            </w:r>
          </w:p>
        </w:tc>
      </w:tr>
    </w:tbl>
    <w:p>
      <w:pPr>
        <w:pStyle w:val="Callout"/>
      </w:pPr>
      <w:r>
        <w:t>Different labels can overlap. For example, a spear-phishing message may use a pretext, move to a vishing call and finish with MFA push bombing. Analyse the complete manipulation path rather than arguing over one label.</w:t>
      </w:r>
    </w:p>
    <w:p>
      <w:pPr>
        <w:pStyle w:val="ListBullet"/>
      </w:pPr>
      <w:r>
        <w:t>Inspect the exact sender domain, reply-to, destination and request — not only the display name.</w:t>
      </w:r>
    </w:p>
    <w:p>
      <w:pPr>
        <w:pStyle w:val="ListBullet"/>
      </w:pPr>
      <w:r>
        <w:t>Treat changes to bank details, payroll, recovery contacts or privileged access as high-risk transactions.</w:t>
      </w:r>
    </w:p>
    <w:p>
      <w:pPr>
        <w:pStyle w:val="ListBullet"/>
      </w:pPr>
      <w:r>
        <w:t>Verify through a previously known channel. Never use contact details contained only in the suspicious message.</w:t>
      </w:r>
    </w:p>
    <w:p>
      <w:pPr>
        <w:pStyle w:val="ListBullet"/>
      </w:pPr>
      <w:r>
        <w:t>Apply dual approval and transaction limits so one manipulated person cannot complete the loss.</w:t>
      </w:r>
    </w:p>
    <w:p>
      <w:pPr>
        <w:pStyle w:val="ListBullet"/>
      </w:pPr>
      <w:r>
        <w:t>Escalate quickly to the bank and relevant authorities when money may have moved.</w:t>
      </w:r>
    </w:p>
    <w:p>
      <w:pPr>
        <w:spacing w:before="80" w:after="120"/>
      </w:pPr>
      <w:r>
        <w:rPr>
          <w:b/>
          <w:color w:val="5F6B7A"/>
          <w:sz w:val="16"/>
        </w:rPr>
        <w:t xml:space="preserve">Source: </w:t>
      </w:r>
      <w:hyperlink r:id="rId14">
        <w:r>
          <w:rPr>
            <w:color w:val="176B87"/>
            <w:u w:val="single"/>
          </w:rPr>
          <w:t>Singapore Police Force — 2026 BEC recovery case</w:t>
        </w:r>
      </w:hyperlink>
    </w:p>
    <w:p>
      <w:pPr>
        <w:pStyle w:val="Heading3"/>
      </w:pPr>
      <w:r>
        <w:t>Beginner example gallery</w:t>
      </w:r>
    </w:p>
    <w:p>
      <w:r>
        <w:t>These are synthetic classroom examples, not live messages. Read the request first, identify the clues, then choose a safer route that the sender or caller cannot control.</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224"/>
            <w:shd w:fill="0B2545"/>
            <w:vAlign w:val="center"/>
          </w:tcPr>
          <w:p>
            <w:r>
              <w:rPr>
                <w:b/>
                <w:color w:val="FFFFFF"/>
                <w:sz w:val="14"/>
              </w:rPr>
              <w:t>Channel</w:t>
            </w:r>
          </w:p>
        </w:tc>
        <w:tc>
          <w:tcPr>
            <w:tcW w:type="dxa" w:w="2951"/>
            <w:shd w:fill="0B2545"/>
            <w:vAlign w:val="center"/>
          </w:tcPr>
          <w:p>
            <w:r>
              <w:rPr>
                <w:b/>
                <w:color w:val="FFFFFF"/>
                <w:sz w:val="14"/>
              </w:rPr>
              <w:t>What the learner sees</w:t>
            </w:r>
          </w:p>
        </w:tc>
        <w:tc>
          <w:tcPr>
            <w:tcW w:type="dxa" w:w="2951"/>
            <w:shd w:fill="0B2545"/>
            <w:vAlign w:val="center"/>
          </w:tcPr>
          <w:p>
            <w:r>
              <w:rPr>
                <w:b/>
                <w:color w:val="FFFFFF"/>
                <w:sz w:val="14"/>
              </w:rPr>
              <w:t>Clues to discuss</w:t>
            </w:r>
          </w:p>
        </w:tc>
        <w:tc>
          <w:tcPr>
            <w:tcW w:type="dxa" w:w="2951"/>
            <w:shd w:fill="0B2545"/>
            <w:vAlign w:val="center"/>
          </w:tcPr>
          <w:p>
            <w:r>
              <w:rPr>
                <w:b/>
                <w:color w:val="FFFFFF"/>
                <w:sz w:val="14"/>
              </w:rPr>
              <w:t>Safer response</w:t>
            </w:r>
          </w:p>
        </w:tc>
      </w:tr>
      <w:tr>
        <w:trPr>
          <w:cantSplit/>
        </w:trPr>
        <w:tc>
          <w:tcPr>
            <w:tcW w:type="dxa" w:w="1224"/>
            <w:vAlign w:val="top"/>
          </w:tcPr>
          <w:p>
            <w:pPr>
              <w:spacing w:after="40"/>
            </w:pPr>
            <w:r>
              <w:rPr>
                <w:rFonts w:ascii="Aptos" w:hAnsi="Aptos"/>
                <w:color w:val="10243E"/>
                <w:sz w:val="14"/>
              </w:rPr>
              <w:t>Email</w:t>
            </w:r>
          </w:p>
        </w:tc>
        <w:tc>
          <w:tcPr>
            <w:tcW w:type="dxa" w:w="2951"/>
            <w:vAlign w:val="top"/>
          </w:tcPr>
          <w:p>
            <w:pPr>
              <w:spacing w:after="40"/>
            </w:pPr>
            <w:r>
              <w:rPr>
                <w:rFonts w:ascii="Aptos" w:hAnsi="Aptos"/>
                <w:color w:val="10243E"/>
                <w:sz w:val="14"/>
              </w:rPr>
              <w:t>We could not deliver your parcel. Pay S$1.20 within 30 minutes or it will be returned.</w:t>
            </w:r>
          </w:p>
        </w:tc>
        <w:tc>
          <w:tcPr>
            <w:tcW w:type="dxa" w:w="2951"/>
            <w:vAlign w:val="top"/>
          </w:tcPr>
          <w:p>
            <w:pPr>
              <w:spacing w:after="40"/>
            </w:pPr>
            <w:r>
              <w:rPr>
                <w:rFonts w:ascii="Aptos" w:hAnsi="Aptos"/>
                <w:color w:val="10243E"/>
                <w:sz w:val="14"/>
              </w:rPr>
              <w:t>Unexpected small payment; Sender and reply-to differ; Urgency creates pressure; Link is not the courier's known site</w:t>
            </w:r>
          </w:p>
        </w:tc>
        <w:tc>
          <w:tcPr>
            <w:tcW w:type="dxa" w:w="2951"/>
            <w:vAlign w:val="top"/>
          </w:tcPr>
          <w:p>
            <w:pPr>
              <w:spacing w:after="40"/>
            </w:pPr>
            <w:r>
              <w:rPr>
                <w:rFonts w:ascii="Aptos" w:hAnsi="Aptos"/>
                <w:color w:val="10243E"/>
                <w:sz w:val="14"/>
              </w:rPr>
              <w:t>Open the courier's official app or type its known address. Do not use the email link.</w:t>
            </w:r>
          </w:p>
        </w:tc>
      </w:tr>
      <w:tr>
        <w:trPr>
          <w:cantSplit/>
        </w:trPr>
        <w:tc>
          <w:tcPr>
            <w:tcW w:type="dxa" w:w="1224"/>
            <w:vAlign w:val="top"/>
          </w:tcPr>
          <w:p>
            <w:pPr>
              <w:spacing w:after="40"/>
            </w:pPr>
            <w:r>
              <w:rPr>
                <w:rFonts w:ascii="Aptos" w:hAnsi="Aptos"/>
                <w:color w:val="10243E"/>
                <w:sz w:val="14"/>
              </w:rPr>
              <w:t>Email</w:t>
            </w:r>
          </w:p>
        </w:tc>
        <w:tc>
          <w:tcPr>
            <w:tcW w:type="dxa" w:w="2951"/>
            <w:vAlign w:val="top"/>
          </w:tcPr>
          <w:p>
            <w:pPr>
              <w:spacing w:after="40"/>
            </w:pPr>
            <w:r>
              <w:rPr>
                <w:rFonts w:ascii="Aptos" w:hAnsi="Aptos"/>
                <w:color w:val="10243E"/>
                <w:sz w:val="14"/>
              </w:rPr>
              <w:t>Sign in now to keep your medical benefits. You have 20 minutes before access is removed.</w:t>
            </w:r>
          </w:p>
        </w:tc>
        <w:tc>
          <w:tcPr>
            <w:tcW w:type="dxa" w:w="2951"/>
            <w:vAlign w:val="top"/>
          </w:tcPr>
          <w:p>
            <w:pPr>
              <w:spacing w:after="40"/>
            </w:pPr>
            <w:r>
              <w:rPr>
                <w:rFonts w:ascii="Aptos" w:hAnsi="Aptos"/>
                <w:color w:val="10243E"/>
                <w:sz w:val="14"/>
              </w:rPr>
              <w:t>Threat of losing access; Unusual external reply-to; Unexpected sign-in link; No matching notice in the HR portal</w:t>
            </w:r>
          </w:p>
        </w:tc>
        <w:tc>
          <w:tcPr>
            <w:tcW w:type="dxa" w:w="2951"/>
            <w:vAlign w:val="top"/>
          </w:tcPr>
          <w:p>
            <w:pPr>
              <w:spacing w:after="40"/>
            </w:pPr>
            <w:r>
              <w:rPr>
                <w:rFonts w:ascii="Aptos" w:hAnsi="Aptos"/>
                <w:color w:val="10243E"/>
                <w:sz w:val="14"/>
              </w:rPr>
              <w:t>Use the bookmarked HR portal or call HR on the directory number.</w:t>
            </w:r>
          </w:p>
        </w:tc>
      </w:tr>
      <w:tr>
        <w:trPr>
          <w:cantSplit/>
        </w:trPr>
        <w:tc>
          <w:tcPr>
            <w:tcW w:type="dxa" w:w="1224"/>
            <w:vAlign w:val="top"/>
          </w:tcPr>
          <w:p>
            <w:pPr>
              <w:spacing w:after="40"/>
            </w:pPr>
            <w:r>
              <w:rPr>
                <w:rFonts w:ascii="Aptos" w:hAnsi="Aptos"/>
                <w:color w:val="10243E"/>
                <w:sz w:val="14"/>
              </w:rPr>
              <w:t>Email</w:t>
            </w:r>
          </w:p>
        </w:tc>
        <w:tc>
          <w:tcPr>
            <w:tcW w:type="dxa" w:w="2951"/>
            <w:vAlign w:val="top"/>
          </w:tcPr>
          <w:p>
            <w:pPr>
              <w:spacing w:after="40"/>
            </w:pPr>
            <w:r>
              <w:rPr>
                <w:rFonts w:ascii="Aptos" w:hAnsi="Aptos"/>
                <w:color w:val="10243E"/>
                <w:sz w:val="14"/>
              </w:rPr>
              <w:t>Our bank account changed today. Please pay S$48,700 to the attached account before 3 pm. Reply only to this email.</w:t>
            </w:r>
          </w:p>
        </w:tc>
        <w:tc>
          <w:tcPr>
            <w:tcW w:type="dxa" w:w="2951"/>
            <w:vAlign w:val="top"/>
          </w:tcPr>
          <w:p>
            <w:pPr>
              <w:spacing w:after="40"/>
            </w:pPr>
            <w:r>
              <w:rPr>
                <w:rFonts w:ascii="Aptos" w:hAnsi="Aptos"/>
                <w:color w:val="10243E"/>
                <w:sz w:val="14"/>
              </w:rPr>
              <w:t>Lookalike domain uses the digit 1; Bank details changed; Same-day payment pressure; Request bypasses normal verification</w:t>
            </w:r>
          </w:p>
        </w:tc>
        <w:tc>
          <w:tcPr>
            <w:tcW w:type="dxa" w:w="2951"/>
            <w:vAlign w:val="top"/>
          </w:tcPr>
          <w:p>
            <w:pPr>
              <w:spacing w:after="40"/>
            </w:pPr>
            <w:r>
              <w:rPr>
                <w:rFonts w:ascii="Aptos" w:hAnsi="Aptos"/>
                <w:color w:val="10243E"/>
                <w:sz w:val="14"/>
              </w:rPr>
              <w:t>Stop payment and call the supplier using the number already stored in the vendor record.</w:t>
            </w:r>
          </w:p>
        </w:tc>
      </w:tr>
      <w:tr>
        <w:trPr>
          <w:cantSplit/>
        </w:trPr>
        <w:tc>
          <w:tcPr>
            <w:tcW w:type="dxa" w:w="1224"/>
            <w:vAlign w:val="top"/>
          </w:tcPr>
          <w:p>
            <w:pPr>
              <w:spacing w:after="40"/>
            </w:pPr>
            <w:r>
              <w:rPr>
                <w:rFonts w:ascii="Aptos" w:hAnsi="Aptos"/>
                <w:color w:val="10243E"/>
                <w:sz w:val="14"/>
              </w:rPr>
              <w:t>SMS</w:t>
            </w:r>
          </w:p>
        </w:tc>
        <w:tc>
          <w:tcPr>
            <w:tcW w:type="dxa" w:w="2951"/>
            <w:vAlign w:val="top"/>
          </w:tcPr>
          <w:p>
            <w:pPr>
              <w:spacing w:after="40"/>
            </w:pPr>
            <w:r>
              <w:rPr>
                <w:rFonts w:ascii="Aptos" w:hAnsi="Aptos"/>
                <w:color w:val="10243E"/>
                <w:sz w:val="14"/>
              </w:rPr>
              <w:t>BANK SECURITY: Your account is locked. Verify now at bank-verify.example.test or access will be suspended.</w:t>
            </w:r>
          </w:p>
        </w:tc>
        <w:tc>
          <w:tcPr>
            <w:tcW w:type="dxa" w:w="2951"/>
            <w:vAlign w:val="top"/>
          </w:tcPr>
          <w:p>
            <w:pPr>
              <w:spacing w:after="40"/>
            </w:pPr>
            <w:r>
              <w:rPr>
                <w:rFonts w:ascii="Aptos" w:hAnsi="Aptos"/>
                <w:color w:val="10243E"/>
                <w:sz w:val="14"/>
              </w:rPr>
              <w:t>Fear of account loss; Link asks for a bank login; Generic sender name; Message is unexpected</w:t>
            </w:r>
          </w:p>
        </w:tc>
        <w:tc>
          <w:tcPr>
            <w:tcW w:type="dxa" w:w="2951"/>
            <w:vAlign w:val="top"/>
          </w:tcPr>
          <w:p>
            <w:pPr>
              <w:spacing w:after="40"/>
            </w:pPr>
            <w:r>
              <w:rPr>
                <w:rFonts w:ascii="Aptos" w:hAnsi="Aptos"/>
                <w:color w:val="10243E"/>
                <w:sz w:val="14"/>
              </w:rPr>
              <w:t>Open the official banking app independently and use its support number if needed.</w:t>
            </w:r>
          </w:p>
        </w:tc>
      </w:tr>
      <w:tr>
        <w:trPr>
          <w:cantSplit/>
        </w:trPr>
        <w:tc>
          <w:tcPr>
            <w:tcW w:type="dxa" w:w="1224"/>
            <w:vAlign w:val="top"/>
          </w:tcPr>
          <w:p>
            <w:pPr>
              <w:spacing w:after="40"/>
            </w:pPr>
            <w:r>
              <w:rPr>
                <w:rFonts w:ascii="Aptos" w:hAnsi="Aptos"/>
                <w:color w:val="10243E"/>
                <w:sz w:val="14"/>
              </w:rPr>
              <w:t>Phone call</w:t>
            </w:r>
          </w:p>
        </w:tc>
        <w:tc>
          <w:tcPr>
            <w:tcW w:type="dxa" w:w="2951"/>
            <w:vAlign w:val="top"/>
          </w:tcPr>
          <w:p>
            <w:pPr>
              <w:spacing w:after="40"/>
            </w:pPr>
            <w:r>
              <w:rPr>
                <w:rFonts w:ascii="Aptos" w:hAnsi="Aptos"/>
                <w:color w:val="10243E"/>
                <w:sz w:val="14"/>
              </w:rPr>
              <w:t>Caller: ‘There is a S$2,900 transfer pending. Read me the six-digit code now so I can cancel it.’</w:t>
            </w:r>
          </w:p>
        </w:tc>
        <w:tc>
          <w:tcPr>
            <w:tcW w:type="dxa" w:w="2951"/>
            <w:vAlign w:val="top"/>
          </w:tcPr>
          <w:p>
            <w:pPr>
              <w:spacing w:after="40"/>
            </w:pPr>
            <w:r>
              <w:rPr>
                <w:rFonts w:ascii="Aptos" w:hAnsi="Aptos"/>
                <w:color w:val="10243E"/>
                <w:sz w:val="14"/>
              </w:rPr>
              <w:t>Caller creates fear; Requests an authentication code; Demands immediate action; Caller ID can be spoofed</w:t>
            </w:r>
          </w:p>
        </w:tc>
        <w:tc>
          <w:tcPr>
            <w:tcW w:type="dxa" w:w="2951"/>
            <w:vAlign w:val="top"/>
          </w:tcPr>
          <w:p>
            <w:pPr>
              <w:spacing w:after="40"/>
            </w:pPr>
            <w:r>
              <w:rPr>
                <w:rFonts w:ascii="Aptos" w:hAnsi="Aptos"/>
                <w:color w:val="10243E"/>
                <w:sz w:val="14"/>
              </w:rPr>
              <w:t>End the call. Dial the number on the back of the bank card or in the official app.</w:t>
            </w:r>
          </w:p>
        </w:tc>
      </w:tr>
      <w:tr>
        <w:trPr>
          <w:cantSplit/>
        </w:trPr>
        <w:tc>
          <w:tcPr>
            <w:tcW w:type="dxa" w:w="1224"/>
            <w:vAlign w:val="top"/>
          </w:tcPr>
          <w:p>
            <w:pPr>
              <w:spacing w:after="40"/>
            </w:pPr>
            <w:r>
              <w:rPr>
                <w:rFonts w:ascii="Aptos" w:hAnsi="Aptos"/>
                <w:color w:val="10243E"/>
                <w:sz w:val="14"/>
              </w:rPr>
              <w:t>QR poster</w:t>
            </w:r>
          </w:p>
        </w:tc>
        <w:tc>
          <w:tcPr>
            <w:tcW w:type="dxa" w:w="2951"/>
            <w:vAlign w:val="top"/>
          </w:tcPr>
          <w:p>
            <w:pPr>
              <w:spacing w:after="40"/>
            </w:pPr>
            <w:r>
              <w:rPr>
                <w:rFonts w:ascii="Aptos" w:hAnsi="Aptos"/>
                <w:color w:val="10243E"/>
                <w:sz w:val="14"/>
              </w:rPr>
              <w:t>PARKING NOTICE: Scan now to pay a S$4.00 fee and avoid a S$70 fine. Destination preview: pay-parking.example.test</w:t>
            </w:r>
          </w:p>
        </w:tc>
        <w:tc>
          <w:tcPr>
            <w:tcW w:type="dxa" w:w="2951"/>
            <w:vAlign w:val="top"/>
          </w:tcPr>
          <w:p>
            <w:pPr>
              <w:spacing w:after="40"/>
            </w:pPr>
            <w:r>
              <w:rPr>
                <w:rFonts w:ascii="Aptos" w:hAnsi="Aptos"/>
                <w:color w:val="10243E"/>
                <w:sz w:val="14"/>
              </w:rPr>
              <w:t>Sticker may cover a genuine code; Destination is hidden until scanning; Fine creates urgency; Site is not the known parking operator</w:t>
            </w:r>
          </w:p>
        </w:tc>
        <w:tc>
          <w:tcPr>
            <w:tcW w:type="dxa" w:w="2951"/>
            <w:vAlign w:val="top"/>
          </w:tcPr>
          <w:p>
            <w:pPr>
              <w:spacing w:after="40"/>
            </w:pPr>
            <w:r>
              <w:rPr>
                <w:rFonts w:ascii="Aptos" w:hAnsi="Aptos"/>
                <w:color w:val="10243E"/>
                <w:sz w:val="14"/>
              </w:rPr>
              <w:t>Use the official parking app or type the operator's known address.</w:t>
            </w:r>
          </w:p>
        </w:tc>
      </w:tr>
      <w:tr>
        <w:trPr>
          <w:cantSplit/>
        </w:trPr>
        <w:tc>
          <w:tcPr>
            <w:tcW w:type="dxa" w:w="1224"/>
            <w:vAlign w:val="top"/>
          </w:tcPr>
          <w:p>
            <w:pPr>
              <w:spacing w:after="40"/>
            </w:pPr>
            <w:r>
              <w:rPr>
                <w:rFonts w:ascii="Aptos" w:hAnsi="Aptos"/>
                <w:color w:val="10243E"/>
                <w:sz w:val="14"/>
              </w:rPr>
              <w:t>Authentication app</w:t>
            </w:r>
          </w:p>
        </w:tc>
        <w:tc>
          <w:tcPr>
            <w:tcW w:type="dxa" w:w="2951"/>
            <w:vAlign w:val="top"/>
          </w:tcPr>
          <w:p>
            <w:pPr>
              <w:spacing w:after="40"/>
            </w:pPr>
            <w:r>
              <w:rPr>
                <w:rFonts w:ascii="Aptos" w:hAnsi="Aptos"/>
                <w:color w:val="10243E"/>
                <w:sz w:val="14"/>
              </w:rPr>
              <w:t>Six login approval prompts arrive, followed by a call: ‘This is IT. Approve the next one to stop the alerts.’</w:t>
            </w:r>
          </w:p>
        </w:tc>
        <w:tc>
          <w:tcPr>
            <w:tcW w:type="dxa" w:w="2951"/>
            <w:vAlign w:val="top"/>
          </w:tcPr>
          <w:p>
            <w:pPr>
              <w:spacing w:after="40"/>
            </w:pPr>
            <w:r>
              <w:rPr>
                <w:rFonts w:ascii="Aptos" w:hAnsi="Aptos"/>
                <w:color w:val="10243E"/>
                <w:sz w:val="14"/>
              </w:rPr>
              <w:t>You did not start a login; Prompts repeat; A caller asks you to approve; Approval would authorise the attacker</w:t>
            </w:r>
          </w:p>
        </w:tc>
        <w:tc>
          <w:tcPr>
            <w:tcW w:type="dxa" w:w="2951"/>
            <w:vAlign w:val="top"/>
          </w:tcPr>
          <w:p>
            <w:pPr>
              <w:spacing w:after="40"/>
            </w:pPr>
            <w:r>
              <w:rPr>
                <w:rFonts w:ascii="Aptos" w:hAnsi="Aptos"/>
                <w:color w:val="10243E"/>
                <w:sz w:val="14"/>
              </w:rPr>
              <w:t>Deny, report the prompts, change the password from a trusted device and review active sessions.</w:t>
            </w:r>
          </w:p>
        </w:tc>
      </w:tr>
      <w:tr>
        <w:trPr>
          <w:cantSplit/>
        </w:trPr>
        <w:tc>
          <w:tcPr>
            <w:tcW w:type="dxa" w:w="1224"/>
            <w:vAlign w:val="top"/>
          </w:tcPr>
          <w:p>
            <w:pPr>
              <w:spacing w:after="40"/>
            </w:pPr>
            <w:r>
              <w:rPr>
                <w:rFonts w:ascii="Aptos" w:hAnsi="Aptos"/>
                <w:color w:val="10243E"/>
                <w:sz w:val="14"/>
              </w:rPr>
              <w:t>Workplace</w:t>
            </w:r>
          </w:p>
        </w:tc>
        <w:tc>
          <w:tcPr>
            <w:tcW w:type="dxa" w:w="2951"/>
            <w:vAlign w:val="top"/>
          </w:tcPr>
          <w:p>
            <w:pPr>
              <w:spacing w:after="40"/>
            </w:pPr>
            <w:r>
              <w:rPr>
                <w:rFonts w:ascii="Aptos" w:hAnsi="Aptos"/>
                <w:color w:val="10243E"/>
                <w:sz w:val="14"/>
              </w:rPr>
              <w:t>Tailgating: a person carrying boxes asks you to hold a secure door. Pretexting: a ‘new auditor’ asks for the staff list and VPN guide.</w:t>
            </w:r>
          </w:p>
        </w:tc>
        <w:tc>
          <w:tcPr>
            <w:tcW w:type="dxa" w:w="2951"/>
            <w:vAlign w:val="top"/>
          </w:tcPr>
          <w:p>
            <w:pPr>
              <w:spacing w:after="40"/>
            </w:pPr>
            <w:r>
              <w:rPr>
                <w:rFonts w:ascii="Aptos" w:hAnsi="Aptos"/>
                <w:color w:val="10243E"/>
                <w:sz w:val="14"/>
              </w:rPr>
              <w:t>Politeness is used as pressure; No visible access or appointment; Role sounds plausible but is unverified; Request exceeds need-to-know</w:t>
            </w:r>
          </w:p>
        </w:tc>
        <w:tc>
          <w:tcPr>
            <w:tcW w:type="dxa" w:w="2951"/>
            <w:vAlign w:val="top"/>
          </w:tcPr>
          <w:p>
            <w:pPr>
              <w:spacing w:after="40"/>
            </w:pPr>
            <w:r>
              <w:rPr>
                <w:rFonts w:ascii="Aptos" w:hAnsi="Aptos"/>
                <w:color w:val="10243E"/>
                <w:sz w:val="14"/>
              </w:rPr>
              <w:t>Escort the person to reception and verify identity, appointment, authority and need-to-know.</w:t>
            </w:r>
          </w:p>
        </w:tc>
      </w:tr>
    </w:tbl>
    <w:p>
      <w:pPr>
        <w:pStyle w:val="Heading2"/>
      </w:pPr>
      <w:r>
        <w:t>Network, mobile and availability threats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0B2545"/>
            <w:vAlign w:val="center"/>
          </w:tcPr>
          <w:p>
            <w:r>
              <w:rPr>
                <w:b/>
                <w:color w:val="FFFFFF"/>
                <w:sz w:val="16"/>
              </w:rPr>
              <w:t>Threat</w:t>
            </w:r>
          </w:p>
        </w:tc>
        <w:tc>
          <w:tcPr>
            <w:tcW w:type="dxa" w:w="3960"/>
            <w:shd w:fill="0B2545"/>
            <w:vAlign w:val="center"/>
          </w:tcPr>
          <w:p>
            <w:r>
              <w:rPr>
                <w:b/>
                <w:color w:val="FFFFFF"/>
                <w:sz w:val="16"/>
              </w:rPr>
              <w:t>What happens</w:t>
            </w:r>
          </w:p>
        </w:tc>
        <w:tc>
          <w:tcPr>
            <w:tcW w:type="dxa" w:w="4392"/>
            <w:shd w:fill="0B2545"/>
            <w:vAlign w:val="center"/>
          </w:tcPr>
          <w:p>
            <w:r>
              <w:rPr>
                <w:b/>
                <w:color w:val="FFFFFF"/>
                <w:sz w:val="16"/>
              </w:rPr>
              <w:t>Practical response</w:t>
            </w:r>
          </w:p>
        </w:tc>
      </w:tr>
      <w:tr>
        <w:trPr>
          <w:cantSplit/>
        </w:trPr>
        <w:tc>
          <w:tcPr>
            <w:tcW w:type="dxa" w:w="1944"/>
            <w:vAlign w:val="top"/>
          </w:tcPr>
          <w:p>
            <w:pPr>
              <w:spacing w:after="40"/>
            </w:pPr>
            <w:r>
              <w:rPr>
                <w:rFonts w:ascii="Aptos" w:hAnsi="Aptos"/>
                <w:color w:val="10243E"/>
                <w:sz w:val="16"/>
              </w:rPr>
              <w:t>Passive observation</w:t>
            </w:r>
          </w:p>
        </w:tc>
        <w:tc>
          <w:tcPr>
            <w:tcW w:type="dxa" w:w="3960"/>
            <w:vAlign w:val="top"/>
          </w:tcPr>
          <w:p>
            <w:pPr>
              <w:spacing w:after="40"/>
            </w:pPr>
            <w:r>
              <w:rPr>
                <w:rFonts w:ascii="Aptos" w:hAnsi="Aptos"/>
                <w:color w:val="10243E"/>
                <w:sz w:val="16"/>
              </w:rPr>
              <w:t>Traffic patterns or content are observed</w:t>
            </w:r>
          </w:p>
        </w:tc>
        <w:tc>
          <w:tcPr>
            <w:tcW w:type="dxa" w:w="4392"/>
            <w:vAlign w:val="top"/>
          </w:tcPr>
          <w:p>
            <w:pPr>
              <w:spacing w:after="40"/>
            </w:pPr>
            <w:r>
              <w:rPr>
                <w:rFonts w:ascii="Aptos" w:hAnsi="Aptos"/>
                <w:color w:val="10243E"/>
                <w:sz w:val="16"/>
              </w:rPr>
              <w:t>Use trusted networks and encrypted services; minimise sensitive exposure.</w:t>
            </w:r>
          </w:p>
        </w:tc>
      </w:tr>
      <w:tr>
        <w:trPr>
          <w:cantSplit/>
        </w:trPr>
        <w:tc>
          <w:tcPr>
            <w:tcW w:type="dxa" w:w="1944"/>
            <w:vAlign w:val="top"/>
          </w:tcPr>
          <w:p>
            <w:pPr>
              <w:spacing w:after="40"/>
            </w:pPr>
            <w:r>
              <w:rPr>
                <w:rFonts w:ascii="Aptos" w:hAnsi="Aptos"/>
                <w:color w:val="10243E"/>
                <w:sz w:val="16"/>
              </w:rPr>
              <w:t>Man-in-the-middle</w:t>
            </w:r>
          </w:p>
        </w:tc>
        <w:tc>
          <w:tcPr>
            <w:tcW w:type="dxa" w:w="3960"/>
            <w:vAlign w:val="top"/>
          </w:tcPr>
          <w:p>
            <w:pPr>
              <w:spacing w:after="40"/>
            </w:pPr>
            <w:r>
              <w:rPr>
                <w:rFonts w:ascii="Aptos" w:hAnsi="Aptos"/>
                <w:color w:val="10243E"/>
                <w:sz w:val="16"/>
              </w:rPr>
              <w:t>Communication is intercepted or altered</w:t>
            </w:r>
          </w:p>
        </w:tc>
        <w:tc>
          <w:tcPr>
            <w:tcW w:type="dxa" w:w="4392"/>
            <w:vAlign w:val="top"/>
          </w:tcPr>
          <w:p>
            <w:pPr>
              <w:spacing w:after="40"/>
            </w:pPr>
            <w:r>
              <w:rPr>
                <w:rFonts w:ascii="Aptos" w:hAnsi="Aptos"/>
                <w:color w:val="10243E"/>
                <w:sz w:val="16"/>
              </w:rPr>
              <w:t>Verify destinations and certificates; use secure protocols; stop on warnings.</w:t>
            </w:r>
          </w:p>
        </w:tc>
      </w:tr>
      <w:tr>
        <w:trPr>
          <w:cantSplit/>
        </w:trPr>
        <w:tc>
          <w:tcPr>
            <w:tcW w:type="dxa" w:w="1944"/>
            <w:vAlign w:val="top"/>
          </w:tcPr>
          <w:p>
            <w:pPr>
              <w:spacing w:after="40"/>
            </w:pPr>
            <w:r>
              <w:rPr>
                <w:rFonts w:ascii="Aptos" w:hAnsi="Aptos"/>
                <w:color w:val="10243E"/>
                <w:sz w:val="16"/>
              </w:rPr>
              <w:t>DDoS</w:t>
            </w:r>
          </w:p>
        </w:tc>
        <w:tc>
          <w:tcPr>
            <w:tcW w:type="dxa" w:w="3960"/>
            <w:vAlign w:val="top"/>
          </w:tcPr>
          <w:p>
            <w:pPr>
              <w:spacing w:after="40"/>
            </w:pPr>
            <w:r>
              <w:rPr>
                <w:rFonts w:ascii="Aptos" w:hAnsi="Aptos"/>
                <w:color w:val="10243E"/>
                <w:sz w:val="16"/>
              </w:rPr>
              <w:t>Capacity is exhausted and service becomes unavailable</w:t>
            </w:r>
          </w:p>
        </w:tc>
        <w:tc>
          <w:tcPr>
            <w:tcW w:type="dxa" w:w="4392"/>
            <w:vAlign w:val="top"/>
          </w:tcPr>
          <w:p>
            <w:pPr>
              <w:spacing w:after="40"/>
            </w:pPr>
            <w:r>
              <w:rPr>
                <w:rFonts w:ascii="Aptos" w:hAnsi="Aptos"/>
                <w:color w:val="10243E"/>
                <w:sz w:val="16"/>
              </w:rPr>
              <w:t>Use upstream filtering, rate limits, capacity plans and provider escalation.</w:t>
            </w:r>
          </w:p>
        </w:tc>
      </w:tr>
      <w:tr>
        <w:trPr>
          <w:cantSplit/>
        </w:trPr>
        <w:tc>
          <w:tcPr>
            <w:tcW w:type="dxa" w:w="1944"/>
            <w:vAlign w:val="top"/>
          </w:tcPr>
          <w:p>
            <w:pPr>
              <w:spacing w:after="40"/>
            </w:pPr>
            <w:r>
              <w:rPr>
                <w:rFonts w:ascii="Aptos" w:hAnsi="Aptos"/>
                <w:color w:val="10243E"/>
                <w:sz w:val="16"/>
              </w:rPr>
              <w:t>Rogue wireless</w:t>
            </w:r>
          </w:p>
        </w:tc>
        <w:tc>
          <w:tcPr>
            <w:tcW w:type="dxa" w:w="3960"/>
            <w:vAlign w:val="top"/>
          </w:tcPr>
          <w:p>
            <w:pPr>
              <w:spacing w:after="40"/>
            </w:pPr>
            <w:r>
              <w:rPr>
                <w:rFonts w:ascii="Aptos" w:hAnsi="Aptos"/>
                <w:color w:val="10243E"/>
                <w:sz w:val="16"/>
              </w:rPr>
              <w:t>A fake or unsafe network attracts users</w:t>
            </w:r>
          </w:p>
        </w:tc>
        <w:tc>
          <w:tcPr>
            <w:tcW w:type="dxa" w:w="4392"/>
            <w:vAlign w:val="top"/>
          </w:tcPr>
          <w:p>
            <w:pPr>
              <w:spacing w:after="40"/>
            </w:pPr>
            <w:r>
              <w:rPr>
                <w:rFonts w:ascii="Aptos" w:hAnsi="Aptos"/>
                <w:color w:val="10243E"/>
                <w:sz w:val="16"/>
              </w:rPr>
              <w:t>Verify network identity; prefer mobile data for sensitive work.</w:t>
            </w:r>
          </w:p>
        </w:tc>
      </w:tr>
      <w:tr>
        <w:trPr>
          <w:cantSplit/>
        </w:trPr>
        <w:tc>
          <w:tcPr>
            <w:tcW w:type="dxa" w:w="1944"/>
            <w:vAlign w:val="top"/>
          </w:tcPr>
          <w:p>
            <w:pPr>
              <w:spacing w:after="40"/>
            </w:pPr>
            <w:r>
              <w:rPr>
                <w:rFonts w:ascii="Aptos" w:hAnsi="Aptos"/>
                <w:color w:val="10243E"/>
                <w:sz w:val="16"/>
              </w:rPr>
              <w:t>Mobile account takeover</w:t>
            </w:r>
          </w:p>
        </w:tc>
        <w:tc>
          <w:tcPr>
            <w:tcW w:type="dxa" w:w="3960"/>
            <w:vAlign w:val="top"/>
          </w:tcPr>
          <w:p>
            <w:pPr>
              <w:spacing w:after="40"/>
            </w:pPr>
            <w:r>
              <w:rPr>
                <w:rFonts w:ascii="Aptos" w:hAnsi="Aptos"/>
                <w:color w:val="10243E"/>
                <w:sz w:val="16"/>
              </w:rPr>
              <w:t>SIM, recovery or MFA workflows are abused</w:t>
            </w:r>
          </w:p>
        </w:tc>
        <w:tc>
          <w:tcPr>
            <w:tcW w:type="dxa" w:w="4392"/>
            <w:vAlign w:val="top"/>
          </w:tcPr>
          <w:p>
            <w:pPr>
              <w:spacing w:after="40"/>
            </w:pPr>
            <w:r>
              <w:rPr>
                <w:rFonts w:ascii="Aptos" w:hAnsi="Aptos"/>
                <w:color w:val="10243E"/>
                <w:sz w:val="16"/>
              </w:rPr>
              <w:t>Strengthen recovery, use passkeys/security keys, review sessions and alerts.</w:t>
            </w:r>
          </w:p>
        </w:tc>
      </w:tr>
    </w:tbl>
    <w:p>
      <w:pPr>
        <w:pStyle w:val="Heading1"/>
      </w:pPr>
      <w:r>
        <w:t>Real-world case studies</w:t>
      </w:r>
    </w:p>
    <w:p>
      <w:r>
        <w:t>The cases below are used to transfer patterns into present-day decisions. The attack detail is intentionally defensive: entry path, exploited weakness, impact, observable signals, controls and lesson. Use each case as an eight-minute decision-room discussion: two minutes to read, four minutes to decide, and two minutes to brief the class.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shd w:fill="0B2545"/>
            <w:vAlign w:val="center"/>
          </w:tcPr>
          <w:p>
            <w:r>
              <w:rPr>
                <w:b/>
                <w:color w:val="FFFFFF"/>
                <w:sz w:val="16"/>
              </w:rPr>
              <w:t>Discussion role</w:t>
            </w:r>
          </w:p>
        </w:tc>
        <w:tc>
          <w:tcPr>
            <w:tcW w:type="dxa" w:w="7992"/>
            <w:shd w:fill="0B2545"/>
            <w:vAlign w:val="center"/>
          </w:tcPr>
          <w:p>
            <w:r>
              <w:rPr>
                <w:b/>
                <w:color w:val="FFFFFF"/>
                <w:sz w:val="16"/>
              </w:rPr>
              <w:t>Responsibility</w:t>
            </w:r>
          </w:p>
        </w:tc>
      </w:tr>
      <w:tr>
        <w:trPr>
          <w:cantSplit/>
        </w:trPr>
        <w:tc>
          <w:tcPr>
            <w:tcW w:type="dxa" w:w="2088"/>
            <w:vAlign w:val="top"/>
          </w:tcPr>
          <w:p>
            <w:pPr>
              <w:spacing w:after="40"/>
            </w:pPr>
            <w:r>
              <w:rPr>
                <w:rFonts w:ascii="Aptos" w:hAnsi="Aptos"/>
                <w:color w:val="10243E"/>
                <w:sz w:val="16"/>
              </w:rPr>
              <w:t>Incident lead</w:t>
            </w:r>
          </w:p>
        </w:tc>
        <w:tc>
          <w:tcPr>
            <w:tcW w:type="dxa" w:w="7992"/>
            <w:vAlign w:val="top"/>
          </w:tcPr>
          <w:p>
            <w:pPr>
              <w:spacing w:after="40"/>
            </w:pPr>
            <w:r>
              <w:rPr>
                <w:rFonts w:ascii="Aptos" w:hAnsi="Aptos"/>
                <w:color w:val="10243E"/>
                <w:sz w:val="16"/>
              </w:rPr>
              <w:t>Set the immediate priority and state the decision required.</w:t>
            </w:r>
          </w:p>
        </w:tc>
      </w:tr>
      <w:tr>
        <w:trPr>
          <w:cantSplit/>
        </w:trPr>
        <w:tc>
          <w:tcPr>
            <w:tcW w:type="dxa" w:w="2088"/>
            <w:vAlign w:val="top"/>
          </w:tcPr>
          <w:p>
            <w:pPr>
              <w:spacing w:after="40"/>
            </w:pPr>
            <w:r>
              <w:rPr>
                <w:rFonts w:ascii="Aptos" w:hAnsi="Aptos"/>
                <w:color w:val="10243E"/>
                <w:sz w:val="16"/>
              </w:rPr>
              <w:t>Evidence lead</w:t>
            </w:r>
          </w:p>
        </w:tc>
        <w:tc>
          <w:tcPr>
            <w:tcW w:type="dxa" w:w="7992"/>
            <w:vAlign w:val="top"/>
          </w:tcPr>
          <w:p>
            <w:pPr>
              <w:spacing w:after="40"/>
            </w:pPr>
            <w:r>
              <w:rPr>
                <w:rFonts w:ascii="Aptos" w:hAnsi="Aptos"/>
                <w:color w:val="10243E"/>
                <w:sz w:val="16"/>
              </w:rPr>
              <w:t>Separate confirmed facts, indicators and hypotheses.</w:t>
            </w:r>
          </w:p>
        </w:tc>
      </w:tr>
      <w:tr>
        <w:trPr>
          <w:cantSplit/>
        </w:trPr>
        <w:tc>
          <w:tcPr>
            <w:tcW w:type="dxa" w:w="2088"/>
            <w:vAlign w:val="top"/>
          </w:tcPr>
          <w:p>
            <w:pPr>
              <w:spacing w:after="40"/>
            </w:pPr>
            <w:r>
              <w:rPr>
                <w:rFonts w:ascii="Aptos" w:hAnsi="Aptos"/>
                <w:color w:val="10243E"/>
                <w:sz w:val="16"/>
              </w:rPr>
              <w:t>Business owner</w:t>
            </w:r>
          </w:p>
        </w:tc>
        <w:tc>
          <w:tcPr>
            <w:tcW w:type="dxa" w:w="7992"/>
            <w:vAlign w:val="top"/>
          </w:tcPr>
          <w:p>
            <w:pPr>
              <w:spacing w:after="40"/>
            </w:pPr>
            <w:r>
              <w:rPr>
                <w:rFonts w:ascii="Aptos" w:hAnsi="Aptos"/>
                <w:color w:val="10243E"/>
                <w:sz w:val="16"/>
              </w:rPr>
              <w:t>Explain operational, financial, customer and safety consequences.</w:t>
            </w:r>
          </w:p>
        </w:tc>
      </w:tr>
      <w:tr>
        <w:trPr>
          <w:cantSplit/>
        </w:trPr>
        <w:tc>
          <w:tcPr>
            <w:tcW w:type="dxa" w:w="2088"/>
            <w:vAlign w:val="top"/>
          </w:tcPr>
          <w:p>
            <w:pPr>
              <w:spacing w:after="40"/>
            </w:pPr>
            <w:r>
              <w:rPr>
                <w:rFonts w:ascii="Aptos" w:hAnsi="Aptos"/>
                <w:color w:val="10243E"/>
                <w:sz w:val="16"/>
              </w:rPr>
              <w:t>Control owner</w:t>
            </w:r>
          </w:p>
        </w:tc>
        <w:tc>
          <w:tcPr>
            <w:tcW w:type="dxa" w:w="7992"/>
            <w:vAlign w:val="top"/>
          </w:tcPr>
          <w:p>
            <w:pPr>
              <w:spacing w:after="40"/>
            </w:pPr>
            <w:r>
              <w:rPr>
                <w:rFonts w:ascii="Aptos" w:hAnsi="Aptos"/>
                <w:color w:val="10243E"/>
                <w:sz w:val="16"/>
              </w:rPr>
              <w:t>Name the control to verify and the evidence that would prove it works.</w:t>
            </w:r>
          </w:p>
        </w:tc>
      </w:tr>
    </w:tbl>
    <w:p>
      <w:pPr>
        <w:pStyle w:val="Heading2"/>
      </w:pPr>
      <w:r>
        <w:t>Case 1: SingHealth data breach (Singapore, 2018)</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15"/>
            <w:shd w:fill="0B2545"/>
            <w:vAlign w:val="center"/>
          </w:tcPr>
          <w:p>
            <w:r>
              <w:rPr>
                <w:b/>
                <w:color w:val="FFFFFF"/>
                <w:sz w:val="16"/>
              </w:rPr>
              <w:t>Lens</w:t>
            </w:r>
          </w:p>
        </w:tc>
        <w:tc>
          <w:tcPr>
            <w:tcW w:type="dxa" w:w="7920"/>
            <w:shd w:fill="0B2545"/>
            <w:vAlign w:val="center"/>
          </w:tcPr>
          <w:p>
            <w:r>
              <w:rPr>
                <w:b/>
                <w:color w:val="FFFFFF"/>
                <w:sz w:val="16"/>
              </w:rPr>
              <w:t>Analysis</w:t>
            </w:r>
          </w:p>
        </w:tc>
      </w:tr>
      <w:tr>
        <w:trPr>
          <w:cantSplit/>
        </w:trPr>
        <w:tc>
          <w:tcPr>
            <w:tcW w:type="dxa" w:w="2015"/>
            <w:vAlign w:val="top"/>
          </w:tcPr>
          <w:p>
            <w:pPr>
              <w:spacing w:after="40"/>
            </w:pPr>
            <w:r>
              <w:rPr>
                <w:rFonts w:ascii="Aptos" w:hAnsi="Aptos"/>
                <w:color w:val="10243E"/>
                <w:sz w:val="16"/>
              </w:rPr>
              <w:t>Entry path</w:t>
            </w:r>
          </w:p>
        </w:tc>
        <w:tc>
          <w:tcPr>
            <w:tcW w:type="dxa" w:w="7920"/>
            <w:vAlign w:val="top"/>
          </w:tcPr>
          <w:p>
            <w:pPr>
              <w:spacing w:after="40"/>
            </w:pPr>
            <w:r>
              <w:rPr>
                <w:rFonts w:ascii="Aptos" w:hAnsi="Aptos"/>
                <w:color w:val="10243E"/>
                <w:sz w:val="16"/>
              </w:rPr>
              <w:t>Compromised front-end workstation and privileged credentials</w:t>
            </w:r>
          </w:p>
        </w:tc>
      </w:tr>
      <w:tr>
        <w:trPr>
          <w:cantSplit/>
        </w:trPr>
        <w:tc>
          <w:tcPr>
            <w:tcW w:type="dxa" w:w="2015"/>
            <w:vAlign w:val="top"/>
          </w:tcPr>
          <w:p>
            <w:pPr>
              <w:spacing w:after="40"/>
            </w:pPr>
            <w:r>
              <w:rPr>
                <w:rFonts w:ascii="Aptos" w:hAnsi="Aptos"/>
                <w:color w:val="10243E"/>
                <w:sz w:val="16"/>
              </w:rPr>
              <w:t>Exploited weakness</w:t>
            </w:r>
          </w:p>
        </w:tc>
        <w:tc>
          <w:tcPr>
            <w:tcW w:type="dxa" w:w="7920"/>
            <w:vAlign w:val="top"/>
          </w:tcPr>
          <w:p>
            <w:pPr>
              <w:spacing w:after="40"/>
            </w:pPr>
            <w:r>
              <w:rPr>
                <w:rFonts w:ascii="Aptos" w:hAnsi="Aptos"/>
                <w:color w:val="10243E"/>
                <w:sz w:val="16"/>
              </w:rPr>
              <w:t>Endpoint compromise, credential misuse, delayed detection</w:t>
            </w:r>
          </w:p>
        </w:tc>
      </w:tr>
      <w:tr>
        <w:trPr>
          <w:cantSplit/>
        </w:trPr>
        <w:tc>
          <w:tcPr>
            <w:tcW w:type="dxa" w:w="2015"/>
            <w:vAlign w:val="top"/>
          </w:tcPr>
          <w:p>
            <w:pPr>
              <w:spacing w:after="40"/>
            </w:pPr>
            <w:r>
              <w:rPr>
                <w:rFonts w:ascii="Aptos" w:hAnsi="Aptos"/>
                <w:color w:val="10243E"/>
                <w:sz w:val="16"/>
              </w:rPr>
              <w:t>Impact</w:t>
            </w:r>
          </w:p>
        </w:tc>
        <w:tc>
          <w:tcPr>
            <w:tcW w:type="dxa" w:w="7920"/>
            <w:vAlign w:val="top"/>
          </w:tcPr>
          <w:p>
            <w:pPr>
              <w:spacing w:after="40"/>
            </w:pPr>
            <w:r>
              <w:rPr>
                <w:rFonts w:ascii="Aptos" w:hAnsi="Aptos"/>
                <w:color w:val="10243E"/>
                <w:sz w:val="16"/>
              </w:rPr>
              <w:t>Personal particulars of 1.5 million patients; outpatient medication records of 160,000</w:t>
            </w:r>
          </w:p>
        </w:tc>
      </w:tr>
      <w:tr>
        <w:trPr>
          <w:cantSplit/>
        </w:trPr>
        <w:tc>
          <w:tcPr>
            <w:tcW w:type="dxa" w:w="2015"/>
            <w:vAlign w:val="top"/>
          </w:tcPr>
          <w:p>
            <w:pPr>
              <w:spacing w:after="40"/>
            </w:pPr>
            <w:r>
              <w:rPr>
                <w:rFonts w:ascii="Aptos" w:hAnsi="Aptos"/>
                <w:color w:val="10243E"/>
                <w:sz w:val="16"/>
              </w:rPr>
              <w:t>Defender signals</w:t>
            </w:r>
          </w:p>
        </w:tc>
        <w:tc>
          <w:tcPr>
            <w:tcW w:type="dxa" w:w="7920"/>
            <w:vAlign w:val="top"/>
          </w:tcPr>
          <w:p>
            <w:pPr>
              <w:spacing w:after="40"/>
            </w:pPr>
            <w:r>
              <w:rPr>
                <w:rFonts w:ascii="Aptos" w:hAnsi="Aptos"/>
                <w:color w:val="10243E"/>
                <w:sz w:val="16"/>
              </w:rPr>
              <w:t>Unusual database queries, privileged access, suspicious workstation activity</w:t>
            </w:r>
          </w:p>
        </w:tc>
      </w:tr>
      <w:tr>
        <w:trPr>
          <w:cantSplit/>
        </w:trPr>
        <w:tc>
          <w:tcPr>
            <w:tcW w:type="dxa" w:w="2015"/>
            <w:vAlign w:val="top"/>
          </w:tcPr>
          <w:p>
            <w:pPr>
              <w:spacing w:after="40"/>
            </w:pPr>
            <w:r>
              <w:rPr>
                <w:rFonts w:ascii="Aptos" w:hAnsi="Aptos"/>
                <w:color w:val="10243E"/>
                <w:sz w:val="16"/>
              </w:rPr>
              <w:t>Controls</w:t>
            </w:r>
          </w:p>
        </w:tc>
        <w:tc>
          <w:tcPr>
            <w:tcW w:type="dxa" w:w="7920"/>
            <w:vAlign w:val="top"/>
          </w:tcPr>
          <w:p>
            <w:pPr>
              <w:spacing w:after="40"/>
            </w:pPr>
            <w:r>
              <w:rPr>
                <w:rFonts w:ascii="Aptos" w:hAnsi="Aptos"/>
                <w:color w:val="10243E"/>
                <w:sz w:val="16"/>
              </w:rPr>
              <w:t>Endpoint hardening, least privilege, privileged access monitoring, segmented systems, rehearsed response</w:t>
            </w:r>
          </w:p>
        </w:tc>
      </w:tr>
      <w:tr>
        <w:trPr>
          <w:cantSplit/>
        </w:trPr>
        <w:tc>
          <w:tcPr>
            <w:tcW w:type="dxa" w:w="2015"/>
            <w:vAlign w:val="top"/>
          </w:tcPr>
          <w:p>
            <w:pPr>
              <w:spacing w:after="40"/>
            </w:pPr>
            <w:r>
              <w:rPr>
                <w:rFonts w:ascii="Aptos" w:hAnsi="Aptos"/>
                <w:color w:val="10243E"/>
                <w:sz w:val="16"/>
              </w:rPr>
              <w:t>Transferable lesson</w:t>
            </w:r>
          </w:p>
        </w:tc>
        <w:tc>
          <w:tcPr>
            <w:tcW w:type="dxa" w:w="7920"/>
            <w:vAlign w:val="top"/>
          </w:tcPr>
          <w:p>
            <w:pPr>
              <w:spacing w:after="40"/>
            </w:pPr>
            <w:r>
              <w:rPr>
                <w:rFonts w:ascii="Aptos" w:hAnsi="Aptos"/>
                <w:color w:val="10243E"/>
                <w:sz w:val="16"/>
              </w:rPr>
              <w:t>Identity and endpoint signals must be connected before an intruder reaches sensitive data.</w:t>
            </w:r>
          </w:p>
        </w:tc>
      </w:tr>
    </w:tbl>
    <w:p>
      <w:pPr>
        <w:spacing w:before="80" w:after="120"/>
      </w:pPr>
      <w:r>
        <w:rPr>
          <w:b/>
          <w:color w:val="5F6B7A"/>
          <w:sz w:val="16"/>
        </w:rPr>
        <w:t xml:space="preserve">Source: </w:t>
      </w:r>
      <w:hyperlink r:id="rId15">
        <w:r>
          <w:rPr>
            <w:color w:val="176B87"/>
            <w:u w:val="single"/>
          </w:rPr>
          <w:t>Ministry of Health Singapore — SingHealth's IT System Target of Cyberattack</w:t>
        </w:r>
      </w:hyperlink>
    </w:p>
    <w:p>
      <w:pPr>
        <w:pStyle w:val="Heading3"/>
      </w:pPr>
      <w:r>
        <w:t>Class discussion</w:t>
      </w:r>
    </w:p>
    <w:p>
      <w:pPr>
        <w:pStyle w:val="ListBullet"/>
      </w:pPr>
      <w:r>
        <w:t>Triage: Which part of this signal set would you trust first, and why — Unusual database queries, privileged access, suspicious workstation activity?</w:t>
      </w:r>
    </w:p>
    <w:p>
      <w:pPr>
        <w:pStyle w:val="ListBullet"/>
      </w:pPr>
      <w:r>
        <w:t>Decision: Which immediate action limits the stated impact without destroying evidence — Personal particulars of 1.5 million patients; outpatient medication records of 160,000?</w:t>
      </w:r>
    </w:p>
    <w:p>
      <w:pPr>
        <w:pStyle w:val="ListBullet"/>
      </w:pPr>
      <w:r>
        <w:t>Control: Which one control from this set should be verified first — Endpoint hardening, least privilege, privileged access monitoring, segmented systems, rehearsed response?</w:t>
      </w:r>
    </w:p>
    <w:p>
      <w:pPr>
        <w:pStyle w:val="ListBullet"/>
      </w:pPr>
      <w:r>
        <w:t>Transfer: Where could the same entry path exist in a personal account, supplier relationship or small business today?</w:t>
      </w:r>
    </w:p>
    <w:p>
      <w:pPr>
        <w:pStyle w:val="Callout"/>
      </w:pPr>
      <w:r>
        <w:t>Brief-back standard: state the situation, confirmed evidence, likely impact, immediate safe action, uncertainty and the decision or authority required.</w:t>
      </w:r>
    </w:p>
    <w:p>
      <w:pPr>
        <w:pStyle w:val="Heading2"/>
      </w:pPr>
      <w:r>
        <w:t>Case 2: WannaCry and the NHS (United Kingdom, 2017)</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15"/>
            <w:shd w:fill="0B2545"/>
            <w:vAlign w:val="center"/>
          </w:tcPr>
          <w:p>
            <w:r>
              <w:rPr>
                <w:b/>
                <w:color w:val="FFFFFF"/>
                <w:sz w:val="16"/>
              </w:rPr>
              <w:t>Lens</w:t>
            </w:r>
          </w:p>
        </w:tc>
        <w:tc>
          <w:tcPr>
            <w:tcW w:type="dxa" w:w="7920"/>
            <w:shd w:fill="0B2545"/>
            <w:vAlign w:val="center"/>
          </w:tcPr>
          <w:p>
            <w:r>
              <w:rPr>
                <w:b/>
                <w:color w:val="FFFFFF"/>
                <w:sz w:val="16"/>
              </w:rPr>
              <w:t>Analysis</w:t>
            </w:r>
          </w:p>
        </w:tc>
      </w:tr>
      <w:tr>
        <w:trPr>
          <w:cantSplit/>
        </w:trPr>
        <w:tc>
          <w:tcPr>
            <w:tcW w:type="dxa" w:w="2015"/>
            <w:vAlign w:val="top"/>
          </w:tcPr>
          <w:p>
            <w:pPr>
              <w:spacing w:after="40"/>
            </w:pPr>
            <w:r>
              <w:rPr>
                <w:rFonts w:ascii="Aptos" w:hAnsi="Aptos"/>
                <w:color w:val="10243E"/>
                <w:sz w:val="16"/>
              </w:rPr>
              <w:t>Entry path</w:t>
            </w:r>
          </w:p>
        </w:tc>
        <w:tc>
          <w:tcPr>
            <w:tcW w:type="dxa" w:w="7920"/>
            <w:vAlign w:val="top"/>
          </w:tcPr>
          <w:p>
            <w:pPr>
              <w:spacing w:after="40"/>
            </w:pPr>
            <w:r>
              <w:rPr>
                <w:rFonts w:ascii="Aptos" w:hAnsi="Aptos"/>
                <w:color w:val="10243E"/>
                <w:sz w:val="16"/>
              </w:rPr>
              <w:t>Ransomware exploited unpatched Windows systems</w:t>
            </w:r>
          </w:p>
        </w:tc>
      </w:tr>
      <w:tr>
        <w:trPr>
          <w:cantSplit/>
        </w:trPr>
        <w:tc>
          <w:tcPr>
            <w:tcW w:type="dxa" w:w="2015"/>
            <w:vAlign w:val="top"/>
          </w:tcPr>
          <w:p>
            <w:pPr>
              <w:spacing w:after="40"/>
            </w:pPr>
            <w:r>
              <w:rPr>
                <w:rFonts w:ascii="Aptos" w:hAnsi="Aptos"/>
                <w:color w:val="10243E"/>
                <w:sz w:val="16"/>
              </w:rPr>
              <w:t>Exploited weakness</w:t>
            </w:r>
          </w:p>
        </w:tc>
        <w:tc>
          <w:tcPr>
            <w:tcW w:type="dxa" w:w="7920"/>
            <w:vAlign w:val="top"/>
          </w:tcPr>
          <w:p>
            <w:pPr>
              <w:spacing w:after="40"/>
            </w:pPr>
            <w:r>
              <w:rPr>
                <w:rFonts w:ascii="Aptos" w:hAnsi="Aptos"/>
                <w:color w:val="10243E"/>
                <w:sz w:val="16"/>
              </w:rPr>
              <w:t>Patch gaps, unsupported systems, uneven asset visibility</w:t>
            </w:r>
          </w:p>
        </w:tc>
      </w:tr>
      <w:tr>
        <w:trPr>
          <w:cantSplit/>
        </w:trPr>
        <w:tc>
          <w:tcPr>
            <w:tcW w:type="dxa" w:w="2015"/>
            <w:vAlign w:val="top"/>
          </w:tcPr>
          <w:p>
            <w:pPr>
              <w:spacing w:after="40"/>
            </w:pPr>
            <w:r>
              <w:rPr>
                <w:rFonts w:ascii="Aptos" w:hAnsi="Aptos"/>
                <w:color w:val="10243E"/>
                <w:sz w:val="16"/>
              </w:rPr>
              <w:t>Impact</w:t>
            </w:r>
          </w:p>
        </w:tc>
        <w:tc>
          <w:tcPr>
            <w:tcW w:type="dxa" w:w="7920"/>
            <w:vAlign w:val="top"/>
          </w:tcPr>
          <w:p>
            <w:pPr>
              <w:spacing w:after="40"/>
            </w:pPr>
            <w:r>
              <w:rPr>
                <w:rFonts w:ascii="Aptos" w:hAnsi="Aptos"/>
                <w:color w:val="10243E"/>
                <w:sz w:val="16"/>
              </w:rPr>
              <w:t>Disruption across NHS organisations and cancelled care</w:t>
            </w:r>
          </w:p>
        </w:tc>
      </w:tr>
      <w:tr>
        <w:trPr>
          <w:cantSplit/>
        </w:trPr>
        <w:tc>
          <w:tcPr>
            <w:tcW w:type="dxa" w:w="2015"/>
            <w:vAlign w:val="top"/>
          </w:tcPr>
          <w:p>
            <w:pPr>
              <w:spacing w:after="40"/>
            </w:pPr>
            <w:r>
              <w:rPr>
                <w:rFonts w:ascii="Aptos" w:hAnsi="Aptos"/>
                <w:color w:val="10243E"/>
                <w:sz w:val="16"/>
              </w:rPr>
              <w:t>Defender signals</w:t>
            </w:r>
          </w:p>
        </w:tc>
        <w:tc>
          <w:tcPr>
            <w:tcW w:type="dxa" w:w="7920"/>
            <w:vAlign w:val="top"/>
          </w:tcPr>
          <w:p>
            <w:pPr>
              <w:spacing w:after="40"/>
            </w:pPr>
            <w:r>
              <w:rPr>
                <w:rFonts w:ascii="Aptos" w:hAnsi="Aptos"/>
                <w:color w:val="10243E"/>
                <w:sz w:val="16"/>
              </w:rPr>
              <w:t>Rapid lateral spread, inaccessible files, ransom notes, unavailable clinical systems</w:t>
            </w:r>
          </w:p>
        </w:tc>
      </w:tr>
      <w:tr>
        <w:trPr>
          <w:cantSplit/>
        </w:trPr>
        <w:tc>
          <w:tcPr>
            <w:tcW w:type="dxa" w:w="2015"/>
            <w:vAlign w:val="top"/>
          </w:tcPr>
          <w:p>
            <w:pPr>
              <w:spacing w:after="40"/>
            </w:pPr>
            <w:r>
              <w:rPr>
                <w:rFonts w:ascii="Aptos" w:hAnsi="Aptos"/>
                <w:color w:val="10243E"/>
                <w:sz w:val="16"/>
              </w:rPr>
              <w:t>Controls</w:t>
            </w:r>
          </w:p>
        </w:tc>
        <w:tc>
          <w:tcPr>
            <w:tcW w:type="dxa" w:w="7920"/>
            <w:vAlign w:val="top"/>
          </w:tcPr>
          <w:p>
            <w:pPr>
              <w:spacing w:after="40"/>
            </w:pPr>
            <w:r>
              <w:rPr>
                <w:rFonts w:ascii="Aptos" w:hAnsi="Aptos"/>
                <w:color w:val="10243E"/>
                <w:sz w:val="16"/>
              </w:rPr>
              <w:t>Asset inventory, timely patching, supported platforms, segmentation, tested offline recovery</w:t>
            </w:r>
          </w:p>
        </w:tc>
      </w:tr>
      <w:tr>
        <w:trPr>
          <w:cantSplit/>
        </w:trPr>
        <w:tc>
          <w:tcPr>
            <w:tcW w:type="dxa" w:w="2015"/>
            <w:vAlign w:val="top"/>
          </w:tcPr>
          <w:p>
            <w:pPr>
              <w:spacing w:after="40"/>
            </w:pPr>
            <w:r>
              <w:rPr>
                <w:rFonts w:ascii="Aptos" w:hAnsi="Aptos"/>
                <w:color w:val="10243E"/>
                <w:sz w:val="16"/>
              </w:rPr>
              <w:t>Transferable lesson</w:t>
            </w:r>
          </w:p>
        </w:tc>
        <w:tc>
          <w:tcPr>
            <w:tcW w:type="dxa" w:w="7920"/>
            <w:vAlign w:val="top"/>
          </w:tcPr>
          <w:p>
            <w:pPr>
              <w:spacing w:after="40"/>
            </w:pPr>
            <w:r>
              <w:rPr>
                <w:rFonts w:ascii="Aptos" w:hAnsi="Aptos"/>
                <w:color w:val="10243E"/>
                <w:sz w:val="16"/>
              </w:rPr>
              <w:t>A known vulnerability becomes an operational crisis when ownership and patching fail.</w:t>
            </w:r>
          </w:p>
        </w:tc>
      </w:tr>
    </w:tbl>
    <w:p>
      <w:pPr>
        <w:spacing w:before="80" w:after="120"/>
      </w:pPr>
      <w:r>
        <w:rPr>
          <w:b/>
          <w:color w:val="5F6B7A"/>
          <w:sz w:val="16"/>
        </w:rPr>
        <w:t xml:space="preserve">Source: </w:t>
      </w:r>
      <w:hyperlink r:id="rId16">
        <w:r>
          <w:rPr>
            <w:color w:val="176B87"/>
            <w:u w:val="single"/>
          </w:rPr>
          <w:t>UK National Audit Office — Investigation: WannaCry Cyber Attack and the NHS</w:t>
        </w:r>
      </w:hyperlink>
    </w:p>
    <w:p>
      <w:pPr>
        <w:pStyle w:val="Heading3"/>
      </w:pPr>
      <w:r>
        <w:t>Class discussion</w:t>
      </w:r>
    </w:p>
    <w:p>
      <w:pPr>
        <w:pStyle w:val="ListBullet"/>
      </w:pPr>
      <w:r>
        <w:t>Triage: Which part of this signal set would you trust first, and why — Rapid lateral spread, inaccessible files, ransom notes, unavailable clinical systems?</w:t>
      </w:r>
    </w:p>
    <w:p>
      <w:pPr>
        <w:pStyle w:val="ListBullet"/>
      </w:pPr>
      <w:r>
        <w:t>Decision: Which immediate action limits the stated impact without destroying evidence — Disruption across NHS organisations and cancelled care?</w:t>
      </w:r>
    </w:p>
    <w:p>
      <w:pPr>
        <w:pStyle w:val="ListBullet"/>
      </w:pPr>
      <w:r>
        <w:t>Control: Which one control from this set should be verified first — Asset inventory, timely patching, supported platforms, segmentation, tested offline recovery?</w:t>
      </w:r>
    </w:p>
    <w:p>
      <w:pPr>
        <w:pStyle w:val="ListBullet"/>
      </w:pPr>
      <w:r>
        <w:t>Transfer: Where could the same entry path exist in a personal account, supplier relationship or small business today?</w:t>
      </w:r>
    </w:p>
    <w:p>
      <w:pPr>
        <w:pStyle w:val="Callout"/>
      </w:pPr>
      <w:r>
        <w:t>Brief-back standard: state the situation, confirmed evidence, likely impact, immediate safe action, uncertainty and the decision or authority required.</w:t>
      </w:r>
    </w:p>
    <w:p>
      <w:pPr>
        <w:pStyle w:val="Heading2"/>
      </w:pPr>
      <w:r>
        <w:t>Case 3: Equifax breach (United States, 2017)</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15"/>
            <w:shd w:fill="0B2545"/>
            <w:vAlign w:val="center"/>
          </w:tcPr>
          <w:p>
            <w:r>
              <w:rPr>
                <w:b/>
                <w:color w:val="FFFFFF"/>
                <w:sz w:val="16"/>
              </w:rPr>
              <w:t>Lens</w:t>
            </w:r>
          </w:p>
        </w:tc>
        <w:tc>
          <w:tcPr>
            <w:tcW w:type="dxa" w:w="7920"/>
            <w:shd w:fill="0B2545"/>
            <w:vAlign w:val="center"/>
          </w:tcPr>
          <w:p>
            <w:r>
              <w:rPr>
                <w:b/>
                <w:color w:val="FFFFFF"/>
                <w:sz w:val="16"/>
              </w:rPr>
              <w:t>Analysis</w:t>
            </w:r>
          </w:p>
        </w:tc>
      </w:tr>
      <w:tr>
        <w:trPr>
          <w:cantSplit/>
        </w:trPr>
        <w:tc>
          <w:tcPr>
            <w:tcW w:type="dxa" w:w="2015"/>
            <w:vAlign w:val="top"/>
          </w:tcPr>
          <w:p>
            <w:pPr>
              <w:spacing w:after="40"/>
            </w:pPr>
            <w:r>
              <w:rPr>
                <w:rFonts w:ascii="Aptos" w:hAnsi="Aptos"/>
                <w:color w:val="10243E"/>
                <w:sz w:val="16"/>
              </w:rPr>
              <w:t>Entry path</w:t>
            </w:r>
          </w:p>
        </w:tc>
        <w:tc>
          <w:tcPr>
            <w:tcW w:type="dxa" w:w="7920"/>
            <w:vAlign w:val="top"/>
          </w:tcPr>
          <w:p>
            <w:pPr>
              <w:spacing w:after="40"/>
            </w:pPr>
            <w:r>
              <w:rPr>
                <w:rFonts w:ascii="Aptos" w:hAnsi="Aptos"/>
                <w:color w:val="10243E"/>
                <w:sz w:val="16"/>
              </w:rPr>
              <w:t>Exploitation of a known web application vulnerability</w:t>
            </w:r>
          </w:p>
        </w:tc>
      </w:tr>
      <w:tr>
        <w:trPr>
          <w:cantSplit/>
        </w:trPr>
        <w:tc>
          <w:tcPr>
            <w:tcW w:type="dxa" w:w="2015"/>
            <w:vAlign w:val="top"/>
          </w:tcPr>
          <w:p>
            <w:pPr>
              <w:spacing w:after="40"/>
            </w:pPr>
            <w:r>
              <w:rPr>
                <w:rFonts w:ascii="Aptos" w:hAnsi="Aptos"/>
                <w:color w:val="10243E"/>
                <w:sz w:val="16"/>
              </w:rPr>
              <w:t>Exploited weakness</w:t>
            </w:r>
          </w:p>
        </w:tc>
        <w:tc>
          <w:tcPr>
            <w:tcW w:type="dxa" w:w="7920"/>
            <w:vAlign w:val="top"/>
          </w:tcPr>
          <w:p>
            <w:pPr>
              <w:spacing w:after="40"/>
            </w:pPr>
            <w:r>
              <w:rPr>
                <w:rFonts w:ascii="Aptos" w:hAnsi="Aptos"/>
                <w:color w:val="10243E"/>
                <w:sz w:val="16"/>
              </w:rPr>
              <w:t>Patch and asset-management breakdowns</w:t>
            </w:r>
          </w:p>
        </w:tc>
      </w:tr>
      <w:tr>
        <w:trPr>
          <w:cantSplit/>
        </w:trPr>
        <w:tc>
          <w:tcPr>
            <w:tcW w:type="dxa" w:w="2015"/>
            <w:vAlign w:val="top"/>
          </w:tcPr>
          <w:p>
            <w:pPr>
              <w:spacing w:after="40"/>
            </w:pPr>
            <w:r>
              <w:rPr>
                <w:rFonts w:ascii="Aptos" w:hAnsi="Aptos"/>
                <w:color w:val="10243E"/>
                <w:sz w:val="16"/>
              </w:rPr>
              <w:t>Impact</w:t>
            </w:r>
          </w:p>
        </w:tc>
        <w:tc>
          <w:tcPr>
            <w:tcW w:type="dxa" w:w="7920"/>
            <w:vAlign w:val="top"/>
          </w:tcPr>
          <w:p>
            <w:pPr>
              <w:spacing w:after="40"/>
            </w:pPr>
            <w:r>
              <w:rPr>
                <w:rFonts w:ascii="Aptos" w:hAnsi="Aptos"/>
                <w:color w:val="10243E"/>
                <w:sz w:val="16"/>
              </w:rPr>
              <w:t>Sensitive personal information exposed at massive scale</w:t>
            </w:r>
          </w:p>
        </w:tc>
      </w:tr>
      <w:tr>
        <w:trPr>
          <w:cantSplit/>
        </w:trPr>
        <w:tc>
          <w:tcPr>
            <w:tcW w:type="dxa" w:w="2015"/>
            <w:vAlign w:val="top"/>
          </w:tcPr>
          <w:p>
            <w:pPr>
              <w:spacing w:after="40"/>
            </w:pPr>
            <w:r>
              <w:rPr>
                <w:rFonts w:ascii="Aptos" w:hAnsi="Aptos"/>
                <w:color w:val="10243E"/>
                <w:sz w:val="16"/>
              </w:rPr>
              <w:t>Defender signals</w:t>
            </w:r>
          </w:p>
        </w:tc>
        <w:tc>
          <w:tcPr>
            <w:tcW w:type="dxa" w:w="7920"/>
            <w:vAlign w:val="top"/>
          </w:tcPr>
          <w:p>
            <w:pPr>
              <w:spacing w:after="40"/>
            </w:pPr>
            <w:r>
              <w:rPr>
                <w:rFonts w:ascii="Aptos" w:hAnsi="Aptos"/>
                <w:color w:val="10243E"/>
                <w:sz w:val="16"/>
              </w:rPr>
              <w:t>Unusual web traffic and data access; vulnerable internet-facing service</w:t>
            </w:r>
          </w:p>
        </w:tc>
      </w:tr>
      <w:tr>
        <w:trPr>
          <w:cantSplit/>
        </w:trPr>
        <w:tc>
          <w:tcPr>
            <w:tcW w:type="dxa" w:w="2015"/>
            <w:vAlign w:val="top"/>
          </w:tcPr>
          <w:p>
            <w:pPr>
              <w:spacing w:after="40"/>
            </w:pPr>
            <w:r>
              <w:rPr>
                <w:rFonts w:ascii="Aptos" w:hAnsi="Aptos"/>
                <w:color w:val="10243E"/>
                <w:sz w:val="16"/>
              </w:rPr>
              <w:t>Controls</w:t>
            </w:r>
          </w:p>
        </w:tc>
        <w:tc>
          <w:tcPr>
            <w:tcW w:type="dxa" w:w="7920"/>
            <w:vAlign w:val="top"/>
          </w:tcPr>
          <w:p>
            <w:pPr>
              <w:spacing w:after="40"/>
            </w:pPr>
            <w:r>
              <w:rPr>
                <w:rFonts w:ascii="Aptos" w:hAnsi="Aptos"/>
                <w:color w:val="10243E"/>
                <w:sz w:val="16"/>
              </w:rPr>
              <w:t>Complete asset inventory, vulnerability SLAs, compensating controls, verification after patching</w:t>
            </w:r>
          </w:p>
        </w:tc>
      </w:tr>
      <w:tr>
        <w:trPr>
          <w:cantSplit/>
        </w:trPr>
        <w:tc>
          <w:tcPr>
            <w:tcW w:type="dxa" w:w="2015"/>
            <w:vAlign w:val="top"/>
          </w:tcPr>
          <w:p>
            <w:pPr>
              <w:spacing w:after="40"/>
            </w:pPr>
            <w:r>
              <w:rPr>
                <w:rFonts w:ascii="Aptos" w:hAnsi="Aptos"/>
                <w:color w:val="10243E"/>
                <w:sz w:val="16"/>
              </w:rPr>
              <w:t>Transferable lesson</w:t>
            </w:r>
          </w:p>
        </w:tc>
        <w:tc>
          <w:tcPr>
            <w:tcW w:type="dxa" w:w="7920"/>
            <w:vAlign w:val="top"/>
          </w:tcPr>
          <w:p>
            <w:pPr>
              <w:spacing w:after="40"/>
            </w:pPr>
            <w:r>
              <w:rPr>
                <w:rFonts w:ascii="Aptos" w:hAnsi="Aptos"/>
                <w:color w:val="10243E"/>
                <w:sz w:val="16"/>
              </w:rPr>
              <w:t>A patch notice is not a control until the affected asset is found, fixed and verified.</w:t>
            </w:r>
          </w:p>
        </w:tc>
      </w:tr>
    </w:tbl>
    <w:p>
      <w:pPr>
        <w:spacing w:before="80" w:after="120"/>
      </w:pPr>
      <w:r>
        <w:rPr>
          <w:b/>
          <w:color w:val="5F6B7A"/>
          <w:sz w:val="16"/>
        </w:rPr>
        <w:t xml:space="preserve">Source: </w:t>
      </w:r>
      <w:hyperlink r:id="rId17">
        <w:r>
          <w:rPr>
            <w:color w:val="176B87"/>
            <w:u w:val="single"/>
          </w:rPr>
          <w:t>U.S. House Committee on Oversight — The Equifax Data Breach</w:t>
        </w:r>
      </w:hyperlink>
    </w:p>
    <w:p>
      <w:pPr>
        <w:pStyle w:val="Heading3"/>
      </w:pPr>
      <w:r>
        <w:t>Class discussion</w:t>
      </w:r>
    </w:p>
    <w:p>
      <w:pPr>
        <w:pStyle w:val="ListBullet"/>
      </w:pPr>
      <w:r>
        <w:t>Triage: Which part of this signal set would you trust first, and why — Unusual web traffic and data access; vulnerable internet-facing service?</w:t>
      </w:r>
    </w:p>
    <w:p>
      <w:pPr>
        <w:pStyle w:val="ListBullet"/>
      </w:pPr>
      <w:r>
        <w:t>Decision: Which immediate action limits the stated impact without destroying evidence — Sensitive personal information exposed at massive scale?</w:t>
      </w:r>
    </w:p>
    <w:p>
      <w:pPr>
        <w:pStyle w:val="ListBullet"/>
      </w:pPr>
      <w:r>
        <w:t>Control: Which one control from this set should be verified first — Complete asset inventory, vulnerability SLAs, compensating controls, verification after patching?</w:t>
      </w:r>
    </w:p>
    <w:p>
      <w:pPr>
        <w:pStyle w:val="ListBullet"/>
      </w:pPr>
      <w:r>
        <w:t>Transfer: Where could the same entry path exist in a personal account, supplier relationship or small business today?</w:t>
      </w:r>
    </w:p>
    <w:p>
      <w:pPr>
        <w:pStyle w:val="Callout"/>
      </w:pPr>
      <w:r>
        <w:t>Brief-back standard: state the situation, confirmed evidence, likely impact, immediate safe action, uncertainty and the decision or authority required.</w:t>
      </w:r>
    </w:p>
    <w:p>
      <w:pPr>
        <w:pStyle w:val="Heading2"/>
      </w:pPr>
      <w:r>
        <w:t>Case 4: SolarWinds supply-chain compromise (Global, 2020)</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15"/>
            <w:shd w:fill="0B2545"/>
            <w:vAlign w:val="center"/>
          </w:tcPr>
          <w:p>
            <w:r>
              <w:rPr>
                <w:b/>
                <w:color w:val="FFFFFF"/>
                <w:sz w:val="16"/>
              </w:rPr>
              <w:t>Lens</w:t>
            </w:r>
          </w:p>
        </w:tc>
        <w:tc>
          <w:tcPr>
            <w:tcW w:type="dxa" w:w="7920"/>
            <w:shd w:fill="0B2545"/>
            <w:vAlign w:val="center"/>
          </w:tcPr>
          <w:p>
            <w:r>
              <w:rPr>
                <w:b/>
                <w:color w:val="FFFFFF"/>
                <w:sz w:val="16"/>
              </w:rPr>
              <w:t>Analysis</w:t>
            </w:r>
          </w:p>
        </w:tc>
      </w:tr>
      <w:tr>
        <w:trPr>
          <w:cantSplit/>
        </w:trPr>
        <w:tc>
          <w:tcPr>
            <w:tcW w:type="dxa" w:w="2015"/>
            <w:vAlign w:val="top"/>
          </w:tcPr>
          <w:p>
            <w:pPr>
              <w:spacing w:after="40"/>
            </w:pPr>
            <w:r>
              <w:rPr>
                <w:rFonts w:ascii="Aptos" w:hAnsi="Aptos"/>
                <w:color w:val="10243E"/>
                <w:sz w:val="16"/>
              </w:rPr>
              <w:t>Entry path</w:t>
            </w:r>
          </w:p>
        </w:tc>
        <w:tc>
          <w:tcPr>
            <w:tcW w:type="dxa" w:w="7920"/>
            <w:vAlign w:val="top"/>
          </w:tcPr>
          <w:p>
            <w:pPr>
              <w:spacing w:after="40"/>
            </w:pPr>
            <w:r>
              <w:rPr>
                <w:rFonts w:ascii="Aptos" w:hAnsi="Aptos"/>
                <w:color w:val="10243E"/>
                <w:sz w:val="16"/>
              </w:rPr>
              <w:t>Malicious code inserted into trusted software updates</w:t>
            </w:r>
          </w:p>
        </w:tc>
      </w:tr>
      <w:tr>
        <w:trPr>
          <w:cantSplit/>
        </w:trPr>
        <w:tc>
          <w:tcPr>
            <w:tcW w:type="dxa" w:w="2015"/>
            <w:vAlign w:val="top"/>
          </w:tcPr>
          <w:p>
            <w:pPr>
              <w:spacing w:after="40"/>
            </w:pPr>
            <w:r>
              <w:rPr>
                <w:rFonts w:ascii="Aptos" w:hAnsi="Aptos"/>
                <w:color w:val="10243E"/>
                <w:sz w:val="16"/>
              </w:rPr>
              <w:t>Exploited weakness</w:t>
            </w:r>
          </w:p>
        </w:tc>
        <w:tc>
          <w:tcPr>
            <w:tcW w:type="dxa" w:w="7920"/>
            <w:vAlign w:val="top"/>
          </w:tcPr>
          <w:p>
            <w:pPr>
              <w:spacing w:after="40"/>
            </w:pPr>
            <w:r>
              <w:rPr>
                <w:rFonts w:ascii="Aptos" w:hAnsi="Aptos"/>
                <w:color w:val="10243E"/>
                <w:sz w:val="16"/>
              </w:rPr>
              <w:t>Implicit trust in supplier software and privileged management tooling</w:t>
            </w:r>
          </w:p>
        </w:tc>
      </w:tr>
      <w:tr>
        <w:trPr>
          <w:cantSplit/>
        </w:trPr>
        <w:tc>
          <w:tcPr>
            <w:tcW w:type="dxa" w:w="2015"/>
            <w:vAlign w:val="top"/>
          </w:tcPr>
          <w:p>
            <w:pPr>
              <w:spacing w:after="40"/>
            </w:pPr>
            <w:r>
              <w:rPr>
                <w:rFonts w:ascii="Aptos" w:hAnsi="Aptos"/>
                <w:color w:val="10243E"/>
                <w:sz w:val="16"/>
              </w:rPr>
              <w:t>Impact</w:t>
            </w:r>
          </w:p>
        </w:tc>
        <w:tc>
          <w:tcPr>
            <w:tcW w:type="dxa" w:w="7920"/>
            <w:vAlign w:val="top"/>
          </w:tcPr>
          <w:p>
            <w:pPr>
              <w:spacing w:after="40"/>
            </w:pPr>
            <w:r>
              <w:rPr>
                <w:rFonts w:ascii="Aptos" w:hAnsi="Aptos"/>
                <w:color w:val="10243E"/>
                <w:sz w:val="16"/>
              </w:rPr>
              <w:t>Covert access to public- and private-sector networks</w:t>
            </w:r>
          </w:p>
        </w:tc>
      </w:tr>
      <w:tr>
        <w:trPr>
          <w:cantSplit/>
        </w:trPr>
        <w:tc>
          <w:tcPr>
            <w:tcW w:type="dxa" w:w="2015"/>
            <w:vAlign w:val="top"/>
          </w:tcPr>
          <w:p>
            <w:pPr>
              <w:spacing w:after="40"/>
            </w:pPr>
            <w:r>
              <w:rPr>
                <w:rFonts w:ascii="Aptos" w:hAnsi="Aptos"/>
                <w:color w:val="10243E"/>
                <w:sz w:val="16"/>
              </w:rPr>
              <w:t>Defender signals</w:t>
            </w:r>
          </w:p>
        </w:tc>
        <w:tc>
          <w:tcPr>
            <w:tcW w:type="dxa" w:w="7920"/>
            <w:vAlign w:val="top"/>
          </w:tcPr>
          <w:p>
            <w:pPr>
              <w:spacing w:after="40"/>
            </w:pPr>
            <w:r>
              <w:rPr>
                <w:rFonts w:ascii="Aptos" w:hAnsi="Aptos"/>
                <w:color w:val="10243E"/>
                <w:sz w:val="16"/>
              </w:rPr>
              <w:t>Rare identity use, unusual cloud access, unexpected network paths</w:t>
            </w:r>
          </w:p>
        </w:tc>
      </w:tr>
      <w:tr>
        <w:trPr>
          <w:cantSplit/>
        </w:trPr>
        <w:tc>
          <w:tcPr>
            <w:tcW w:type="dxa" w:w="2015"/>
            <w:vAlign w:val="top"/>
          </w:tcPr>
          <w:p>
            <w:pPr>
              <w:spacing w:after="40"/>
            </w:pPr>
            <w:r>
              <w:rPr>
                <w:rFonts w:ascii="Aptos" w:hAnsi="Aptos"/>
                <w:color w:val="10243E"/>
                <w:sz w:val="16"/>
              </w:rPr>
              <w:t>Controls</w:t>
            </w:r>
          </w:p>
        </w:tc>
        <w:tc>
          <w:tcPr>
            <w:tcW w:type="dxa" w:w="7920"/>
            <w:vAlign w:val="top"/>
          </w:tcPr>
          <w:p>
            <w:pPr>
              <w:spacing w:after="40"/>
            </w:pPr>
            <w:r>
              <w:rPr>
                <w:rFonts w:ascii="Aptos" w:hAnsi="Aptos"/>
                <w:color w:val="10243E"/>
                <w:sz w:val="16"/>
              </w:rPr>
              <w:t>Supplier risk management, zero-trust checks, identity analytics, egress monitoring, rapid key rotation</w:t>
            </w:r>
          </w:p>
        </w:tc>
      </w:tr>
      <w:tr>
        <w:trPr>
          <w:cantSplit/>
        </w:trPr>
        <w:tc>
          <w:tcPr>
            <w:tcW w:type="dxa" w:w="2015"/>
            <w:vAlign w:val="top"/>
          </w:tcPr>
          <w:p>
            <w:pPr>
              <w:spacing w:after="40"/>
            </w:pPr>
            <w:r>
              <w:rPr>
                <w:rFonts w:ascii="Aptos" w:hAnsi="Aptos"/>
                <w:color w:val="10243E"/>
                <w:sz w:val="16"/>
              </w:rPr>
              <w:t>Transferable lesson</w:t>
            </w:r>
          </w:p>
        </w:tc>
        <w:tc>
          <w:tcPr>
            <w:tcW w:type="dxa" w:w="7920"/>
            <w:vAlign w:val="top"/>
          </w:tcPr>
          <w:p>
            <w:pPr>
              <w:spacing w:after="40"/>
            </w:pPr>
            <w:r>
              <w:rPr>
                <w:rFonts w:ascii="Aptos" w:hAnsi="Aptos"/>
                <w:color w:val="10243E"/>
                <w:sz w:val="16"/>
              </w:rPr>
              <w:t>Trusted software can carry risk; verify behaviour after deployment, not only the publisher.</w:t>
            </w:r>
          </w:p>
        </w:tc>
      </w:tr>
    </w:tbl>
    <w:p>
      <w:pPr>
        <w:spacing w:before="80" w:after="120"/>
      </w:pPr>
      <w:r>
        <w:rPr>
          <w:b/>
          <w:color w:val="5F6B7A"/>
          <w:sz w:val="16"/>
        </w:rPr>
        <w:t xml:space="preserve">Source: </w:t>
      </w:r>
      <w:hyperlink r:id="rId18">
        <w:r>
          <w:rPr>
            <w:color w:val="176B87"/>
            <w:u w:val="single"/>
          </w:rPr>
          <w:t>CISA — Active Exploitation of SolarWinds Software</w:t>
        </w:r>
      </w:hyperlink>
    </w:p>
    <w:p>
      <w:pPr>
        <w:pStyle w:val="Heading3"/>
      </w:pPr>
      <w:r>
        <w:t>Class discussion</w:t>
      </w:r>
    </w:p>
    <w:p>
      <w:pPr>
        <w:pStyle w:val="ListBullet"/>
      </w:pPr>
      <w:r>
        <w:t>Triage: Which part of this signal set would you trust first, and why — Rare identity use, unusual cloud access, unexpected network paths?</w:t>
      </w:r>
    </w:p>
    <w:p>
      <w:pPr>
        <w:pStyle w:val="ListBullet"/>
      </w:pPr>
      <w:r>
        <w:t>Decision: Which immediate action limits the stated impact without destroying evidence — Covert access to public- and private-sector networks?</w:t>
      </w:r>
    </w:p>
    <w:p>
      <w:pPr>
        <w:pStyle w:val="ListBullet"/>
      </w:pPr>
      <w:r>
        <w:t>Control: Which one control from this set should be verified first — Supplier risk management, zero-trust checks, identity analytics, egress monitoring, rapid key rotation?</w:t>
      </w:r>
    </w:p>
    <w:p>
      <w:pPr>
        <w:pStyle w:val="ListBullet"/>
      </w:pPr>
      <w:r>
        <w:t>Transfer: Where could the same entry path exist in a personal account, supplier relationship or small business today?</w:t>
      </w:r>
    </w:p>
    <w:p>
      <w:pPr>
        <w:pStyle w:val="Callout"/>
      </w:pPr>
      <w:r>
        <w:t>Brief-back standard: state the situation, confirmed evidence, likely impact, immediate safe action, uncertainty and the decision or authority required.</w:t>
      </w:r>
    </w:p>
    <w:p>
      <w:pPr>
        <w:pStyle w:val="Heading2"/>
      </w:pPr>
      <w:r>
        <w:t>Case 5: Colonial Pipeline (United States, 2021)</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15"/>
            <w:shd w:fill="0B2545"/>
            <w:vAlign w:val="center"/>
          </w:tcPr>
          <w:p>
            <w:r>
              <w:rPr>
                <w:b/>
                <w:color w:val="FFFFFF"/>
                <w:sz w:val="16"/>
              </w:rPr>
              <w:t>Lens</w:t>
            </w:r>
          </w:p>
        </w:tc>
        <w:tc>
          <w:tcPr>
            <w:tcW w:type="dxa" w:w="7920"/>
            <w:shd w:fill="0B2545"/>
            <w:vAlign w:val="center"/>
          </w:tcPr>
          <w:p>
            <w:r>
              <w:rPr>
                <w:b/>
                <w:color w:val="FFFFFF"/>
                <w:sz w:val="16"/>
              </w:rPr>
              <w:t>Analysis</w:t>
            </w:r>
          </w:p>
        </w:tc>
      </w:tr>
      <w:tr>
        <w:trPr>
          <w:cantSplit/>
        </w:trPr>
        <w:tc>
          <w:tcPr>
            <w:tcW w:type="dxa" w:w="2015"/>
            <w:vAlign w:val="top"/>
          </w:tcPr>
          <w:p>
            <w:pPr>
              <w:spacing w:after="40"/>
            </w:pPr>
            <w:r>
              <w:rPr>
                <w:rFonts w:ascii="Aptos" w:hAnsi="Aptos"/>
                <w:color w:val="10243E"/>
                <w:sz w:val="16"/>
              </w:rPr>
              <w:t>Entry path</w:t>
            </w:r>
          </w:p>
        </w:tc>
        <w:tc>
          <w:tcPr>
            <w:tcW w:type="dxa" w:w="7920"/>
            <w:vAlign w:val="top"/>
          </w:tcPr>
          <w:p>
            <w:pPr>
              <w:spacing w:after="40"/>
            </w:pPr>
            <w:r>
              <w:rPr>
                <w:rFonts w:ascii="Aptos" w:hAnsi="Aptos"/>
                <w:color w:val="10243E"/>
                <w:sz w:val="16"/>
              </w:rPr>
              <w:t>Compromised VPN password on an inactive account without MFA</w:t>
            </w:r>
          </w:p>
        </w:tc>
      </w:tr>
      <w:tr>
        <w:trPr>
          <w:cantSplit/>
        </w:trPr>
        <w:tc>
          <w:tcPr>
            <w:tcW w:type="dxa" w:w="2015"/>
            <w:vAlign w:val="top"/>
          </w:tcPr>
          <w:p>
            <w:pPr>
              <w:spacing w:after="40"/>
            </w:pPr>
            <w:r>
              <w:rPr>
                <w:rFonts w:ascii="Aptos" w:hAnsi="Aptos"/>
                <w:color w:val="10243E"/>
                <w:sz w:val="16"/>
              </w:rPr>
              <w:t>Exploited weakness</w:t>
            </w:r>
          </w:p>
        </w:tc>
        <w:tc>
          <w:tcPr>
            <w:tcW w:type="dxa" w:w="7920"/>
            <w:vAlign w:val="top"/>
          </w:tcPr>
          <w:p>
            <w:pPr>
              <w:spacing w:after="40"/>
            </w:pPr>
            <w:r>
              <w:rPr>
                <w:rFonts w:ascii="Aptos" w:hAnsi="Aptos"/>
                <w:color w:val="10243E"/>
                <w:sz w:val="16"/>
              </w:rPr>
              <w:t>Dormant identity, password reuse/exposure, missing MFA</w:t>
            </w:r>
          </w:p>
        </w:tc>
      </w:tr>
      <w:tr>
        <w:trPr>
          <w:cantSplit/>
        </w:trPr>
        <w:tc>
          <w:tcPr>
            <w:tcW w:type="dxa" w:w="2015"/>
            <w:vAlign w:val="top"/>
          </w:tcPr>
          <w:p>
            <w:pPr>
              <w:spacing w:after="40"/>
            </w:pPr>
            <w:r>
              <w:rPr>
                <w:rFonts w:ascii="Aptos" w:hAnsi="Aptos"/>
                <w:color w:val="10243E"/>
                <w:sz w:val="16"/>
              </w:rPr>
              <w:t>Impact</w:t>
            </w:r>
          </w:p>
        </w:tc>
        <w:tc>
          <w:tcPr>
            <w:tcW w:type="dxa" w:w="7920"/>
            <w:vAlign w:val="top"/>
          </w:tcPr>
          <w:p>
            <w:pPr>
              <w:spacing w:after="40"/>
            </w:pPr>
            <w:r>
              <w:rPr>
                <w:rFonts w:ascii="Aptos" w:hAnsi="Aptos"/>
                <w:color w:val="10243E"/>
                <w:sz w:val="16"/>
              </w:rPr>
              <w:t>Business systems disruption and precautionary pipeline shutdown</w:t>
            </w:r>
          </w:p>
        </w:tc>
      </w:tr>
      <w:tr>
        <w:trPr>
          <w:cantSplit/>
        </w:trPr>
        <w:tc>
          <w:tcPr>
            <w:tcW w:type="dxa" w:w="2015"/>
            <w:vAlign w:val="top"/>
          </w:tcPr>
          <w:p>
            <w:pPr>
              <w:spacing w:after="40"/>
            </w:pPr>
            <w:r>
              <w:rPr>
                <w:rFonts w:ascii="Aptos" w:hAnsi="Aptos"/>
                <w:color w:val="10243E"/>
                <w:sz w:val="16"/>
              </w:rPr>
              <w:t>Defender signals</w:t>
            </w:r>
          </w:p>
        </w:tc>
        <w:tc>
          <w:tcPr>
            <w:tcW w:type="dxa" w:w="7920"/>
            <w:vAlign w:val="top"/>
          </w:tcPr>
          <w:p>
            <w:pPr>
              <w:spacing w:after="40"/>
            </w:pPr>
            <w:r>
              <w:rPr>
                <w:rFonts w:ascii="Aptos" w:hAnsi="Aptos"/>
                <w:color w:val="10243E"/>
                <w:sz w:val="16"/>
              </w:rPr>
              <w:t>Unexpected remote access and activity from a dormant account</w:t>
            </w:r>
          </w:p>
        </w:tc>
      </w:tr>
      <w:tr>
        <w:trPr>
          <w:cantSplit/>
        </w:trPr>
        <w:tc>
          <w:tcPr>
            <w:tcW w:type="dxa" w:w="2015"/>
            <w:vAlign w:val="top"/>
          </w:tcPr>
          <w:p>
            <w:pPr>
              <w:spacing w:after="40"/>
            </w:pPr>
            <w:r>
              <w:rPr>
                <w:rFonts w:ascii="Aptos" w:hAnsi="Aptos"/>
                <w:color w:val="10243E"/>
                <w:sz w:val="16"/>
              </w:rPr>
              <w:t>Controls</w:t>
            </w:r>
          </w:p>
        </w:tc>
        <w:tc>
          <w:tcPr>
            <w:tcW w:type="dxa" w:w="7920"/>
            <w:vAlign w:val="top"/>
          </w:tcPr>
          <w:p>
            <w:pPr>
              <w:spacing w:after="40"/>
            </w:pPr>
            <w:r>
              <w:rPr>
                <w:rFonts w:ascii="Aptos" w:hAnsi="Aptos"/>
                <w:color w:val="10243E"/>
                <w:sz w:val="16"/>
              </w:rPr>
              <w:t>Disable dormant accounts, MFA, password monitoring, remote-access review, IT/OT separation</w:t>
            </w:r>
          </w:p>
        </w:tc>
      </w:tr>
      <w:tr>
        <w:trPr>
          <w:cantSplit/>
        </w:trPr>
        <w:tc>
          <w:tcPr>
            <w:tcW w:type="dxa" w:w="2015"/>
            <w:vAlign w:val="top"/>
          </w:tcPr>
          <w:p>
            <w:pPr>
              <w:spacing w:after="40"/>
            </w:pPr>
            <w:r>
              <w:rPr>
                <w:rFonts w:ascii="Aptos" w:hAnsi="Aptos"/>
                <w:color w:val="10243E"/>
                <w:sz w:val="16"/>
              </w:rPr>
              <w:t>Transferable lesson</w:t>
            </w:r>
          </w:p>
        </w:tc>
        <w:tc>
          <w:tcPr>
            <w:tcW w:type="dxa" w:w="7920"/>
            <w:vAlign w:val="top"/>
          </w:tcPr>
          <w:p>
            <w:pPr>
              <w:spacing w:after="40"/>
            </w:pPr>
            <w:r>
              <w:rPr>
                <w:rFonts w:ascii="Aptos" w:hAnsi="Aptos"/>
                <w:color w:val="10243E"/>
                <w:sz w:val="16"/>
              </w:rPr>
              <w:t>Identity hygiene is infrastructure resilience.</w:t>
            </w:r>
          </w:p>
        </w:tc>
      </w:tr>
    </w:tbl>
    <w:p>
      <w:pPr>
        <w:spacing w:before="80" w:after="120"/>
      </w:pPr>
      <w:r>
        <w:rPr>
          <w:b/>
          <w:color w:val="5F6B7A"/>
          <w:sz w:val="16"/>
        </w:rPr>
        <w:t xml:space="preserve">Source: </w:t>
      </w:r>
      <w:hyperlink r:id="rId19">
        <w:r>
          <w:rPr>
            <w:color w:val="176B87"/>
            <w:u w:val="single"/>
          </w:rPr>
          <w:t>CISA — IAM Case Study: Colonial Pipeline</w:t>
        </w:r>
      </w:hyperlink>
    </w:p>
    <w:p>
      <w:pPr>
        <w:pStyle w:val="Heading3"/>
      </w:pPr>
      <w:r>
        <w:t>Class discussion</w:t>
      </w:r>
    </w:p>
    <w:p>
      <w:pPr>
        <w:pStyle w:val="ListBullet"/>
      </w:pPr>
      <w:r>
        <w:t>Triage: Which part of this signal set would you trust first, and why — Unexpected remote access and activity from a dormant account?</w:t>
      </w:r>
    </w:p>
    <w:p>
      <w:pPr>
        <w:pStyle w:val="ListBullet"/>
      </w:pPr>
      <w:r>
        <w:t>Decision: Which immediate action limits the stated impact without destroying evidence — Business systems disruption and precautionary pipeline shutdown?</w:t>
      </w:r>
    </w:p>
    <w:p>
      <w:pPr>
        <w:pStyle w:val="ListBullet"/>
      </w:pPr>
      <w:r>
        <w:t>Control: Which one control from this set should be verified first — Disable dormant accounts, MFA, password monitoring, remote-access review, IT/OT separation?</w:t>
      </w:r>
    </w:p>
    <w:p>
      <w:pPr>
        <w:pStyle w:val="ListBullet"/>
      </w:pPr>
      <w:r>
        <w:t>Transfer: Where could the same entry path exist in a personal account, supplier relationship or small business today?</w:t>
      </w:r>
    </w:p>
    <w:p>
      <w:pPr>
        <w:pStyle w:val="Callout"/>
      </w:pPr>
      <w:r>
        <w:t>Brief-back standard: state the situation, confirmed evidence, likely impact, immediate safe action, uncertainty and the decision or authority required.</w:t>
      </w:r>
    </w:p>
    <w:p>
      <w:pPr>
        <w:pStyle w:val="Heading2"/>
      </w:pPr>
      <w:r>
        <w:t>Case 6: Log4Shell exploitation (Global, 2021)</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15"/>
            <w:shd w:fill="0B2545"/>
            <w:vAlign w:val="center"/>
          </w:tcPr>
          <w:p>
            <w:r>
              <w:rPr>
                <w:b/>
                <w:color w:val="FFFFFF"/>
                <w:sz w:val="16"/>
              </w:rPr>
              <w:t>Lens</w:t>
            </w:r>
          </w:p>
        </w:tc>
        <w:tc>
          <w:tcPr>
            <w:tcW w:type="dxa" w:w="7920"/>
            <w:shd w:fill="0B2545"/>
            <w:vAlign w:val="center"/>
          </w:tcPr>
          <w:p>
            <w:r>
              <w:rPr>
                <w:b/>
                <w:color w:val="FFFFFF"/>
                <w:sz w:val="16"/>
              </w:rPr>
              <w:t>Analysis</w:t>
            </w:r>
          </w:p>
        </w:tc>
      </w:tr>
      <w:tr>
        <w:trPr>
          <w:cantSplit/>
        </w:trPr>
        <w:tc>
          <w:tcPr>
            <w:tcW w:type="dxa" w:w="2015"/>
            <w:vAlign w:val="top"/>
          </w:tcPr>
          <w:p>
            <w:pPr>
              <w:spacing w:after="40"/>
            </w:pPr>
            <w:r>
              <w:rPr>
                <w:rFonts w:ascii="Aptos" w:hAnsi="Aptos"/>
                <w:color w:val="10243E"/>
                <w:sz w:val="16"/>
              </w:rPr>
              <w:t>Entry path</w:t>
            </w:r>
          </w:p>
        </w:tc>
        <w:tc>
          <w:tcPr>
            <w:tcW w:type="dxa" w:w="7920"/>
            <w:vAlign w:val="top"/>
          </w:tcPr>
          <w:p>
            <w:pPr>
              <w:spacing w:after="40"/>
            </w:pPr>
            <w:r>
              <w:rPr>
                <w:rFonts w:ascii="Aptos" w:hAnsi="Aptos"/>
                <w:color w:val="10243E"/>
                <w:sz w:val="16"/>
              </w:rPr>
              <w:t>Remote code execution through a widely embedded logging component</w:t>
            </w:r>
          </w:p>
        </w:tc>
      </w:tr>
      <w:tr>
        <w:trPr>
          <w:cantSplit/>
        </w:trPr>
        <w:tc>
          <w:tcPr>
            <w:tcW w:type="dxa" w:w="2015"/>
            <w:vAlign w:val="top"/>
          </w:tcPr>
          <w:p>
            <w:pPr>
              <w:spacing w:after="40"/>
            </w:pPr>
            <w:r>
              <w:rPr>
                <w:rFonts w:ascii="Aptos" w:hAnsi="Aptos"/>
                <w:color w:val="10243E"/>
                <w:sz w:val="16"/>
              </w:rPr>
              <w:t>Exploited weakness</w:t>
            </w:r>
          </w:p>
        </w:tc>
        <w:tc>
          <w:tcPr>
            <w:tcW w:type="dxa" w:w="7920"/>
            <w:vAlign w:val="top"/>
          </w:tcPr>
          <w:p>
            <w:pPr>
              <w:spacing w:after="40"/>
            </w:pPr>
            <w:r>
              <w:rPr>
                <w:rFonts w:ascii="Aptos" w:hAnsi="Aptos"/>
                <w:color w:val="10243E"/>
                <w:sz w:val="16"/>
              </w:rPr>
              <w:t>Hidden software dependency and incomplete inventory</w:t>
            </w:r>
          </w:p>
        </w:tc>
      </w:tr>
      <w:tr>
        <w:trPr>
          <w:cantSplit/>
        </w:trPr>
        <w:tc>
          <w:tcPr>
            <w:tcW w:type="dxa" w:w="2015"/>
            <w:vAlign w:val="top"/>
          </w:tcPr>
          <w:p>
            <w:pPr>
              <w:spacing w:after="40"/>
            </w:pPr>
            <w:r>
              <w:rPr>
                <w:rFonts w:ascii="Aptos" w:hAnsi="Aptos"/>
                <w:color w:val="10243E"/>
                <w:sz w:val="16"/>
              </w:rPr>
              <w:t>Impact</w:t>
            </w:r>
          </w:p>
        </w:tc>
        <w:tc>
          <w:tcPr>
            <w:tcW w:type="dxa" w:w="7920"/>
            <w:vAlign w:val="top"/>
          </w:tcPr>
          <w:p>
            <w:pPr>
              <w:spacing w:after="40"/>
            </w:pPr>
            <w:r>
              <w:rPr>
                <w:rFonts w:ascii="Aptos" w:hAnsi="Aptos"/>
                <w:color w:val="10243E"/>
                <w:sz w:val="16"/>
              </w:rPr>
              <w:t>Broad exploitation risk across internet-facing systems</w:t>
            </w:r>
          </w:p>
        </w:tc>
      </w:tr>
      <w:tr>
        <w:trPr>
          <w:cantSplit/>
        </w:trPr>
        <w:tc>
          <w:tcPr>
            <w:tcW w:type="dxa" w:w="2015"/>
            <w:vAlign w:val="top"/>
          </w:tcPr>
          <w:p>
            <w:pPr>
              <w:spacing w:after="40"/>
            </w:pPr>
            <w:r>
              <w:rPr>
                <w:rFonts w:ascii="Aptos" w:hAnsi="Aptos"/>
                <w:color w:val="10243E"/>
                <w:sz w:val="16"/>
              </w:rPr>
              <w:t>Defender signals</w:t>
            </w:r>
          </w:p>
        </w:tc>
        <w:tc>
          <w:tcPr>
            <w:tcW w:type="dxa" w:w="7920"/>
            <w:vAlign w:val="top"/>
          </w:tcPr>
          <w:p>
            <w:pPr>
              <w:spacing w:after="40"/>
            </w:pPr>
            <w:r>
              <w:rPr>
                <w:rFonts w:ascii="Aptos" w:hAnsi="Aptos"/>
                <w:color w:val="10243E"/>
                <w:sz w:val="16"/>
              </w:rPr>
              <w:t>Suspicious lookup strings, outbound callbacks, new processes and payloads</w:t>
            </w:r>
          </w:p>
        </w:tc>
      </w:tr>
      <w:tr>
        <w:trPr>
          <w:cantSplit/>
        </w:trPr>
        <w:tc>
          <w:tcPr>
            <w:tcW w:type="dxa" w:w="2015"/>
            <w:vAlign w:val="top"/>
          </w:tcPr>
          <w:p>
            <w:pPr>
              <w:spacing w:after="40"/>
            </w:pPr>
            <w:r>
              <w:rPr>
                <w:rFonts w:ascii="Aptos" w:hAnsi="Aptos"/>
                <w:color w:val="10243E"/>
                <w:sz w:val="16"/>
              </w:rPr>
              <w:t>Controls</w:t>
            </w:r>
          </w:p>
        </w:tc>
        <w:tc>
          <w:tcPr>
            <w:tcW w:type="dxa" w:w="7920"/>
            <w:vAlign w:val="top"/>
          </w:tcPr>
          <w:p>
            <w:pPr>
              <w:spacing w:after="40"/>
            </w:pPr>
            <w:r>
              <w:rPr>
                <w:rFonts w:ascii="Aptos" w:hAnsi="Aptos"/>
                <w:color w:val="10243E"/>
                <w:sz w:val="16"/>
              </w:rPr>
              <w:t>Software bill of materials, emergency patch process, virtual patching, threat hunting</w:t>
            </w:r>
          </w:p>
        </w:tc>
      </w:tr>
      <w:tr>
        <w:trPr>
          <w:cantSplit/>
        </w:trPr>
        <w:tc>
          <w:tcPr>
            <w:tcW w:type="dxa" w:w="2015"/>
            <w:vAlign w:val="top"/>
          </w:tcPr>
          <w:p>
            <w:pPr>
              <w:spacing w:after="40"/>
            </w:pPr>
            <w:r>
              <w:rPr>
                <w:rFonts w:ascii="Aptos" w:hAnsi="Aptos"/>
                <w:color w:val="10243E"/>
                <w:sz w:val="16"/>
              </w:rPr>
              <w:t>Transferable lesson</w:t>
            </w:r>
          </w:p>
        </w:tc>
        <w:tc>
          <w:tcPr>
            <w:tcW w:type="dxa" w:w="7920"/>
            <w:vAlign w:val="top"/>
          </w:tcPr>
          <w:p>
            <w:pPr>
              <w:spacing w:after="40"/>
            </w:pPr>
            <w:r>
              <w:rPr>
                <w:rFonts w:ascii="Aptos" w:hAnsi="Aptos"/>
                <w:color w:val="10243E"/>
                <w:sz w:val="16"/>
              </w:rPr>
              <w:t>You cannot protect a component you do not know you run.</w:t>
            </w:r>
          </w:p>
        </w:tc>
      </w:tr>
    </w:tbl>
    <w:p>
      <w:pPr>
        <w:spacing w:before="80" w:after="120"/>
      </w:pPr>
      <w:r>
        <w:rPr>
          <w:b/>
          <w:color w:val="5F6B7A"/>
          <w:sz w:val="16"/>
        </w:rPr>
        <w:t xml:space="preserve">Source: </w:t>
      </w:r>
      <w:hyperlink r:id="rId20">
        <w:r>
          <w:rPr>
            <w:color w:val="176B87"/>
            <w:u w:val="single"/>
          </w:rPr>
          <w:t>CISA — Mitigating Log4Shell and Log4j Vulnerabilities</w:t>
        </w:r>
      </w:hyperlink>
    </w:p>
    <w:p>
      <w:pPr>
        <w:pStyle w:val="Heading3"/>
      </w:pPr>
      <w:r>
        <w:t>Class discussion</w:t>
      </w:r>
    </w:p>
    <w:p>
      <w:pPr>
        <w:pStyle w:val="ListBullet"/>
      </w:pPr>
      <w:r>
        <w:t>Triage: Which part of this signal set would you trust first, and why — Suspicious lookup strings, outbound callbacks, new processes and payloads?</w:t>
      </w:r>
    </w:p>
    <w:p>
      <w:pPr>
        <w:pStyle w:val="ListBullet"/>
      </w:pPr>
      <w:r>
        <w:t>Decision: Which immediate action limits the stated impact without destroying evidence — Broad exploitation risk across internet-facing systems?</w:t>
      </w:r>
    </w:p>
    <w:p>
      <w:pPr>
        <w:pStyle w:val="ListBullet"/>
      </w:pPr>
      <w:r>
        <w:t>Control: Which one control from this set should be verified first — Software bill of materials, emergency patch process, virtual patching, threat hunting?</w:t>
      </w:r>
    </w:p>
    <w:p>
      <w:pPr>
        <w:pStyle w:val="ListBullet"/>
      </w:pPr>
      <w:r>
        <w:t>Transfer: Where could the same entry path exist in a personal account, supplier relationship or small business today?</w:t>
      </w:r>
    </w:p>
    <w:p>
      <w:pPr>
        <w:pStyle w:val="Callout"/>
      </w:pPr>
      <w:r>
        <w:t>Brief-back standard: state the situation, confirmed evidence, likely impact, immediate safe action, uncertainty and the decision or authority required.</w:t>
      </w:r>
    </w:p>
    <w:p>
      <w:pPr>
        <w:pStyle w:val="Heading2"/>
      </w:pPr>
      <w:r>
        <w:t>Case 7: MOVEit mass exploitation (Global, 2023)</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15"/>
            <w:shd w:fill="0B2545"/>
            <w:vAlign w:val="center"/>
          </w:tcPr>
          <w:p>
            <w:r>
              <w:rPr>
                <w:b/>
                <w:color w:val="FFFFFF"/>
                <w:sz w:val="16"/>
              </w:rPr>
              <w:t>Lens</w:t>
            </w:r>
          </w:p>
        </w:tc>
        <w:tc>
          <w:tcPr>
            <w:tcW w:type="dxa" w:w="7920"/>
            <w:shd w:fill="0B2545"/>
            <w:vAlign w:val="center"/>
          </w:tcPr>
          <w:p>
            <w:r>
              <w:rPr>
                <w:b/>
                <w:color w:val="FFFFFF"/>
                <w:sz w:val="16"/>
              </w:rPr>
              <w:t>Analysis</w:t>
            </w:r>
          </w:p>
        </w:tc>
      </w:tr>
      <w:tr>
        <w:trPr>
          <w:cantSplit/>
        </w:trPr>
        <w:tc>
          <w:tcPr>
            <w:tcW w:type="dxa" w:w="2015"/>
            <w:vAlign w:val="top"/>
          </w:tcPr>
          <w:p>
            <w:pPr>
              <w:spacing w:after="40"/>
            </w:pPr>
            <w:r>
              <w:rPr>
                <w:rFonts w:ascii="Aptos" w:hAnsi="Aptos"/>
                <w:color w:val="10243E"/>
                <w:sz w:val="16"/>
              </w:rPr>
              <w:t>Entry path</w:t>
            </w:r>
          </w:p>
        </w:tc>
        <w:tc>
          <w:tcPr>
            <w:tcW w:type="dxa" w:w="7920"/>
            <w:vAlign w:val="top"/>
          </w:tcPr>
          <w:p>
            <w:pPr>
              <w:spacing w:after="40"/>
            </w:pPr>
            <w:r>
              <w:rPr>
                <w:rFonts w:ascii="Aptos" w:hAnsi="Aptos"/>
                <w:color w:val="10243E"/>
                <w:sz w:val="16"/>
              </w:rPr>
              <w:t>Zero-day SQL injection in managed file-transfer software</w:t>
            </w:r>
          </w:p>
        </w:tc>
      </w:tr>
      <w:tr>
        <w:trPr>
          <w:cantSplit/>
        </w:trPr>
        <w:tc>
          <w:tcPr>
            <w:tcW w:type="dxa" w:w="2015"/>
            <w:vAlign w:val="top"/>
          </w:tcPr>
          <w:p>
            <w:pPr>
              <w:spacing w:after="40"/>
            </w:pPr>
            <w:r>
              <w:rPr>
                <w:rFonts w:ascii="Aptos" w:hAnsi="Aptos"/>
                <w:color w:val="10243E"/>
                <w:sz w:val="16"/>
              </w:rPr>
              <w:t>Exploited weakness</w:t>
            </w:r>
          </w:p>
        </w:tc>
        <w:tc>
          <w:tcPr>
            <w:tcW w:type="dxa" w:w="7920"/>
            <w:vAlign w:val="top"/>
          </w:tcPr>
          <w:p>
            <w:pPr>
              <w:spacing w:after="40"/>
            </w:pPr>
            <w:r>
              <w:rPr>
                <w:rFonts w:ascii="Aptos" w:hAnsi="Aptos"/>
                <w:color w:val="10243E"/>
                <w:sz w:val="16"/>
              </w:rPr>
              <w:t>Internet-facing data service and third-party concentration</w:t>
            </w:r>
          </w:p>
        </w:tc>
      </w:tr>
      <w:tr>
        <w:trPr>
          <w:cantSplit/>
        </w:trPr>
        <w:tc>
          <w:tcPr>
            <w:tcW w:type="dxa" w:w="2015"/>
            <w:vAlign w:val="top"/>
          </w:tcPr>
          <w:p>
            <w:pPr>
              <w:spacing w:after="40"/>
            </w:pPr>
            <w:r>
              <w:rPr>
                <w:rFonts w:ascii="Aptos" w:hAnsi="Aptos"/>
                <w:color w:val="10243E"/>
                <w:sz w:val="16"/>
              </w:rPr>
              <w:t>Impact</w:t>
            </w:r>
          </w:p>
        </w:tc>
        <w:tc>
          <w:tcPr>
            <w:tcW w:type="dxa" w:w="7920"/>
            <w:vAlign w:val="top"/>
          </w:tcPr>
          <w:p>
            <w:pPr>
              <w:spacing w:after="40"/>
            </w:pPr>
            <w:r>
              <w:rPr>
                <w:rFonts w:ascii="Aptos" w:hAnsi="Aptos"/>
                <w:color w:val="10243E"/>
                <w:sz w:val="16"/>
              </w:rPr>
              <w:t>Data theft across many organisations through one common platform</w:t>
            </w:r>
          </w:p>
        </w:tc>
      </w:tr>
      <w:tr>
        <w:trPr>
          <w:cantSplit/>
        </w:trPr>
        <w:tc>
          <w:tcPr>
            <w:tcW w:type="dxa" w:w="2015"/>
            <w:vAlign w:val="top"/>
          </w:tcPr>
          <w:p>
            <w:pPr>
              <w:spacing w:after="40"/>
            </w:pPr>
            <w:r>
              <w:rPr>
                <w:rFonts w:ascii="Aptos" w:hAnsi="Aptos"/>
                <w:color w:val="10243E"/>
                <w:sz w:val="16"/>
              </w:rPr>
              <w:t>Defender signals</w:t>
            </w:r>
          </w:p>
        </w:tc>
        <w:tc>
          <w:tcPr>
            <w:tcW w:type="dxa" w:w="7920"/>
            <w:vAlign w:val="top"/>
          </w:tcPr>
          <w:p>
            <w:pPr>
              <w:spacing w:after="40"/>
            </w:pPr>
            <w:r>
              <w:rPr>
                <w:rFonts w:ascii="Aptos" w:hAnsi="Aptos"/>
                <w:color w:val="10243E"/>
                <w:sz w:val="16"/>
              </w:rPr>
              <w:t>Unexpected database queries, web shells, unusual downloads and new accounts</w:t>
            </w:r>
          </w:p>
        </w:tc>
      </w:tr>
      <w:tr>
        <w:trPr>
          <w:cantSplit/>
        </w:trPr>
        <w:tc>
          <w:tcPr>
            <w:tcW w:type="dxa" w:w="2015"/>
            <w:vAlign w:val="top"/>
          </w:tcPr>
          <w:p>
            <w:pPr>
              <w:spacing w:after="40"/>
            </w:pPr>
            <w:r>
              <w:rPr>
                <w:rFonts w:ascii="Aptos" w:hAnsi="Aptos"/>
                <w:color w:val="10243E"/>
                <w:sz w:val="16"/>
              </w:rPr>
              <w:t>Controls</w:t>
            </w:r>
          </w:p>
        </w:tc>
        <w:tc>
          <w:tcPr>
            <w:tcW w:type="dxa" w:w="7920"/>
            <w:vAlign w:val="top"/>
          </w:tcPr>
          <w:p>
            <w:pPr>
              <w:spacing w:after="40"/>
            </w:pPr>
            <w:r>
              <w:rPr>
                <w:rFonts w:ascii="Aptos" w:hAnsi="Aptos"/>
                <w:color w:val="10243E"/>
                <w:sz w:val="16"/>
              </w:rPr>
              <w:t>Vendor advisories, rapid isolation, compromise assessment, third-party exposure mapping</w:t>
            </w:r>
          </w:p>
        </w:tc>
      </w:tr>
      <w:tr>
        <w:trPr>
          <w:cantSplit/>
        </w:trPr>
        <w:tc>
          <w:tcPr>
            <w:tcW w:type="dxa" w:w="2015"/>
            <w:vAlign w:val="top"/>
          </w:tcPr>
          <w:p>
            <w:pPr>
              <w:spacing w:after="40"/>
            </w:pPr>
            <w:r>
              <w:rPr>
                <w:rFonts w:ascii="Aptos" w:hAnsi="Aptos"/>
                <w:color w:val="10243E"/>
                <w:sz w:val="16"/>
              </w:rPr>
              <w:t>Transferable lesson</w:t>
            </w:r>
          </w:p>
        </w:tc>
        <w:tc>
          <w:tcPr>
            <w:tcW w:type="dxa" w:w="7920"/>
            <w:vAlign w:val="top"/>
          </w:tcPr>
          <w:p>
            <w:pPr>
              <w:spacing w:after="40"/>
            </w:pPr>
            <w:r>
              <w:rPr>
                <w:rFonts w:ascii="Aptos" w:hAnsi="Aptos"/>
                <w:color w:val="10243E"/>
                <w:sz w:val="16"/>
              </w:rPr>
              <w:t>Third-party software can multiply one vulnerability into sector-wide exposure.</w:t>
            </w:r>
          </w:p>
        </w:tc>
      </w:tr>
    </w:tbl>
    <w:p>
      <w:pPr>
        <w:spacing w:before="80" w:after="120"/>
      </w:pPr>
      <w:r>
        <w:rPr>
          <w:b/>
          <w:color w:val="5F6B7A"/>
          <w:sz w:val="16"/>
        </w:rPr>
        <w:t xml:space="preserve">Source: </w:t>
      </w:r>
      <w:hyperlink r:id="rId21">
        <w:r>
          <w:rPr>
            <w:color w:val="176B87"/>
            <w:u w:val="single"/>
          </w:rPr>
          <w:t>CISA — CL0P Exploits MOVEit Vulnerability</w:t>
        </w:r>
      </w:hyperlink>
    </w:p>
    <w:p>
      <w:pPr>
        <w:pStyle w:val="Heading3"/>
      </w:pPr>
      <w:r>
        <w:t>Class discussion</w:t>
      </w:r>
    </w:p>
    <w:p>
      <w:pPr>
        <w:pStyle w:val="ListBullet"/>
      </w:pPr>
      <w:r>
        <w:t>Triage: Which part of this signal set would you trust first, and why — Unexpected database queries, web shells, unusual downloads and new accounts?</w:t>
      </w:r>
    </w:p>
    <w:p>
      <w:pPr>
        <w:pStyle w:val="ListBullet"/>
      </w:pPr>
      <w:r>
        <w:t>Decision: Which immediate action limits the stated impact without destroying evidence — Data theft across many organisations through one common platform?</w:t>
      </w:r>
    </w:p>
    <w:p>
      <w:pPr>
        <w:pStyle w:val="ListBullet"/>
      </w:pPr>
      <w:r>
        <w:t>Control: Which one control from this set should be verified first — Vendor advisories, rapid isolation, compromise assessment, third-party exposure mapping?</w:t>
      </w:r>
    </w:p>
    <w:p>
      <w:pPr>
        <w:pStyle w:val="ListBullet"/>
      </w:pPr>
      <w:r>
        <w:t>Transfer: Where could the same entry path exist in a personal account, supplier relationship or small business today?</w:t>
      </w:r>
    </w:p>
    <w:p>
      <w:pPr>
        <w:pStyle w:val="Callout"/>
      </w:pPr>
      <w:r>
        <w:t>Brief-back standard: state the situation, confirmed evidence, likely impact, immediate safe action, uncertainty and the decision or authority required.</w:t>
      </w:r>
    </w:p>
    <w:p>
      <w:pPr>
        <w:pStyle w:val="Heading2"/>
      </w:pPr>
      <w:r>
        <w:t>Case 8: MGM Resorts cyber incident (United States, 2023)</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15"/>
            <w:shd w:fill="0B2545"/>
            <w:vAlign w:val="center"/>
          </w:tcPr>
          <w:p>
            <w:r>
              <w:rPr>
                <w:b/>
                <w:color w:val="FFFFFF"/>
                <w:sz w:val="16"/>
              </w:rPr>
              <w:t>Lens</w:t>
            </w:r>
          </w:p>
        </w:tc>
        <w:tc>
          <w:tcPr>
            <w:tcW w:type="dxa" w:w="7920"/>
            <w:shd w:fill="0B2545"/>
            <w:vAlign w:val="center"/>
          </w:tcPr>
          <w:p>
            <w:r>
              <w:rPr>
                <w:b/>
                <w:color w:val="FFFFFF"/>
                <w:sz w:val="16"/>
              </w:rPr>
              <w:t>Analysis</w:t>
            </w:r>
          </w:p>
        </w:tc>
      </w:tr>
      <w:tr>
        <w:trPr>
          <w:cantSplit/>
        </w:trPr>
        <w:tc>
          <w:tcPr>
            <w:tcW w:type="dxa" w:w="2015"/>
            <w:vAlign w:val="top"/>
          </w:tcPr>
          <w:p>
            <w:pPr>
              <w:spacing w:after="40"/>
            </w:pPr>
            <w:r>
              <w:rPr>
                <w:rFonts w:ascii="Aptos" w:hAnsi="Aptos"/>
                <w:color w:val="10243E"/>
                <w:sz w:val="16"/>
              </w:rPr>
              <w:t>Entry path</w:t>
            </w:r>
          </w:p>
        </w:tc>
        <w:tc>
          <w:tcPr>
            <w:tcW w:type="dxa" w:w="7920"/>
            <w:vAlign w:val="top"/>
          </w:tcPr>
          <w:p>
            <w:pPr>
              <w:spacing w:after="40"/>
            </w:pPr>
            <w:r>
              <w:rPr>
                <w:rFonts w:ascii="Aptos" w:hAnsi="Aptos"/>
                <w:color w:val="10243E"/>
                <w:sz w:val="16"/>
              </w:rPr>
              <w:t>Identity compromise followed by system disruption</w:t>
            </w:r>
          </w:p>
        </w:tc>
      </w:tr>
      <w:tr>
        <w:trPr>
          <w:cantSplit/>
        </w:trPr>
        <w:tc>
          <w:tcPr>
            <w:tcW w:type="dxa" w:w="2015"/>
            <w:vAlign w:val="top"/>
          </w:tcPr>
          <w:p>
            <w:pPr>
              <w:spacing w:after="40"/>
            </w:pPr>
            <w:r>
              <w:rPr>
                <w:rFonts w:ascii="Aptos" w:hAnsi="Aptos"/>
                <w:color w:val="10243E"/>
                <w:sz w:val="16"/>
              </w:rPr>
              <w:t>Exploited weakness</w:t>
            </w:r>
          </w:p>
        </w:tc>
        <w:tc>
          <w:tcPr>
            <w:tcW w:type="dxa" w:w="7920"/>
            <w:vAlign w:val="top"/>
          </w:tcPr>
          <w:p>
            <w:pPr>
              <w:spacing w:after="40"/>
            </w:pPr>
            <w:r>
              <w:rPr>
                <w:rFonts w:ascii="Aptos" w:hAnsi="Aptos"/>
                <w:color w:val="10243E"/>
                <w:sz w:val="16"/>
              </w:rPr>
              <w:t>Help-desk and identity-recovery processes exposed to manipulation</w:t>
            </w:r>
          </w:p>
        </w:tc>
      </w:tr>
      <w:tr>
        <w:trPr>
          <w:cantSplit/>
        </w:trPr>
        <w:tc>
          <w:tcPr>
            <w:tcW w:type="dxa" w:w="2015"/>
            <w:vAlign w:val="top"/>
          </w:tcPr>
          <w:p>
            <w:pPr>
              <w:spacing w:after="40"/>
            </w:pPr>
            <w:r>
              <w:rPr>
                <w:rFonts w:ascii="Aptos" w:hAnsi="Aptos"/>
                <w:color w:val="10243E"/>
                <w:sz w:val="16"/>
              </w:rPr>
              <w:t>Impact</w:t>
            </w:r>
          </w:p>
        </w:tc>
        <w:tc>
          <w:tcPr>
            <w:tcW w:type="dxa" w:w="7920"/>
            <w:vAlign w:val="top"/>
          </w:tcPr>
          <w:p>
            <w:pPr>
              <w:spacing w:after="40"/>
            </w:pPr>
            <w:r>
              <w:rPr>
                <w:rFonts w:ascii="Aptos" w:hAnsi="Aptos"/>
                <w:color w:val="10243E"/>
                <w:sz w:val="16"/>
              </w:rPr>
              <w:t>Systems shut down, service disruption and personal data exposure</w:t>
            </w:r>
          </w:p>
        </w:tc>
      </w:tr>
      <w:tr>
        <w:trPr>
          <w:cantSplit/>
        </w:trPr>
        <w:tc>
          <w:tcPr>
            <w:tcW w:type="dxa" w:w="2015"/>
            <w:vAlign w:val="top"/>
          </w:tcPr>
          <w:p>
            <w:pPr>
              <w:spacing w:after="40"/>
            </w:pPr>
            <w:r>
              <w:rPr>
                <w:rFonts w:ascii="Aptos" w:hAnsi="Aptos"/>
                <w:color w:val="10243E"/>
                <w:sz w:val="16"/>
              </w:rPr>
              <w:t>Defender signals</w:t>
            </w:r>
          </w:p>
        </w:tc>
        <w:tc>
          <w:tcPr>
            <w:tcW w:type="dxa" w:w="7920"/>
            <w:vAlign w:val="top"/>
          </w:tcPr>
          <w:p>
            <w:pPr>
              <w:spacing w:after="40"/>
            </w:pPr>
            <w:r>
              <w:rPr>
                <w:rFonts w:ascii="Aptos" w:hAnsi="Aptos"/>
                <w:color w:val="10243E"/>
                <w:sz w:val="16"/>
              </w:rPr>
              <w:t>Unusual identity recovery, privileged account changes and abrupt service outages</w:t>
            </w:r>
          </w:p>
        </w:tc>
      </w:tr>
      <w:tr>
        <w:trPr>
          <w:cantSplit/>
        </w:trPr>
        <w:tc>
          <w:tcPr>
            <w:tcW w:type="dxa" w:w="2015"/>
            <w:vAlign w:val="top"/>
          </w:tcPr>
          <w:p>
            <w:pPr>
              <w:spacing w:after="40"/>
            </w:pPr>
            <w:r>
              <w:rPr>
                <w:rFonts w:ascii="Aptos" w:hAnsi="Aptos"/>
                <w:color w:val="10243E"/>
                <w:sz w:val="16"/>
              </w:rPr>
              <w:t>Controls</w:t>
            </w:r>
          </w:p>
        </w:tc>
        <w:tc>
          <w:tcPr>
            <w:tcW w:type="dxa" w:w="7920"/>
            <w:vAlign w:val="top"/>
          </w:tcPr>
          <w:p>
            <w:pPr>
              <w:spacing w:after="40"/>
            </w:pPr>
            <w:r>
              <w:rPr>
                <w:rFonts w:ascii="Aptos" w:hAnsi="Aptos"/>
                <w:color w:val="10243E"/>
                <w:sz w:val="16"/>
              </w:rPr>
              <w:t>High-assurance help-desk verification, phishing-resistant MFA, privileged identity monitoring</w:t>
            </w:r>
          </w:p>
        </w:tc>
      </w:tr>
      <w:tr>
        <w:trPr>
          <w:cantSplit/>
        </w:trPr>
        <w:tc>
          <w:tcPr>
            <w:tcW w:type="dxa" w:w="2015"/>
            <w:vAlign w:val="top"/>
          </w:tcPr>
          <w:p>
            <w:pPr>
              <w:spacing w:after="40"/>
            </w:pPr>
            <w:r>
              <w:rPr>
                <w:rFonts w:ascii="Aptos" w:hAnsi="Aptos"/>
                <w:color w:val="10243E"/>
                <w:sz w:val="16"/>
              </w:rPr>
              <w:t>Transferable lesson</w:t>
            </w:r>
          </w:p>
        </w:tc>
        <w:tc>
          <w:tcPr>
            <w:tcW w:type="dxa" w:w="7920"/>
            <w:vAlign w:val="top"/>
          </w:tcPr>
          <w:p>
            <w:pPr>
              <w:spacing w:after="40"/>
            </w:pPr>
            <w:r>
              <w:rPr>
                <w:rFonts w:ascii="Aptos" w:hAnsi="Aptos"/>
                <w:color w:val="10243E"/>
                <w:sz w:val="16"/>
              </w:rPr>
              <w:t>Recovery workflows need controls as strong as login workflows.</w:t>
            </w:r>
          </w:p>
        </w:tc>
      </w:tr>
    </w:tbl>
    <w:p>
      <w:pPr>
        <w:spacing w:before="80" w:after="120"/>
      </w:pPr>
      <w:r>
        <w:rPr>
          <w:b/>
          <w:color w:val="5F6B7A"/>
          <w:sz w:val="16"/>
        </w:rPr>
        <w:t xml:space="preserve">Source: </w:t>
      </w:r>
      <w:hyperlink r:id="rId22">
        <w:r>
          <w:rPr>
            <w:color w:val="176B87"/>
            <w:u w:val="single"/>
          </w:rPr>
          <w:t>U.S. Securities and Exchange Commission — MGM Resorts International Form 8-K</w:t>
        </w:r>
      </w:hyperlink>
    </w:p>
    <w:p>
      <w:pPr>
        <w:pStyle w:val="Heading3"/>
      </w:pPr>
      <w:r>
        <w:t>Class discussion</w:t>
      </w:r>
    </w:p>
    <w:p>
      <w:pPr>
        <w:pStyle w:val="ListBullet"/>
      </w:pPr>
      <w:r>
        <w:t>Triage: Which part of this signal set would you trust first, and why — Unusual identity recovery, privileged account changes and abrupt service outages?</w:t>
      </w:r>
    </w:p>
    <w:p>
      <w:pPr>
        <w:pStyle w:val="ListBullet"/>
      </w:pPr>
      <w:r>
        <w:t>Decision: Which immediate action limits the stated impact without destroying evidence — Systems shut down, service disruption and personal data exposure?</w:t>
      </w:r>
    </w:p>
    <w:p>
      <w:pPr>
        <w:pStyle w:val="ListBullet"/>
      </w:pPr>
      <w:r>
        <w:t>Control: Which one control from this set should be verified first — High-assurance help-desk verification, phishing-resistant MFA, privileged identity monitoring?</w:t>
      </w:r>
    </w:p>
    <w:p>
      <w:pPr>
        <w:pStyle w:val="ListBullet"/>
      </w:pPr>
      <w:r>
        <w:t>Transfer: Where could the same entry path exist in a personal account, supplier relationship or small business today?</w:t>
      </w:r>
    </w:p>
    <w:p>
      <w:pPr>
        <w:pStyle w:val="Callout"/>
      </w:pPr>
      <w:r>
        <w:t>Brief-back standard: state the situation, confirmed evidence, likely impact, immediate safe action, uncertainty and the decision or authority required.</w:t>
      </w:r>
    </w:p>
    <w:p>
      <w:pPr>
        <w:pStyle w:val="Heading2"/>
      </w:pPr>
      <w:r>
        <w:t>Case 9: Singapore commodity-trader BEC (Singapore, 2026)</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15"/>
            <w:shd w:fill="0B2545"/>
            <w:vAlign w:val="center"/>
          </w:tcPr>
          <w:p>
            <w:r>
              <w:rPr>
                <w:b/>
                <w:color w:val="FFFFFF"/>
                <w:sz w:val="16"/>
              </w:rPr>
              <w:t>Lens</w:t>
            </w:r>
          </w:p>
        </w:tc>
        <w:tc>
          <w:tcPr>
            <w:tcW w:type="dxa" w:w="7920"/>
            <w:shd w:fill="0B2545"/>
            <w:vAlign w:val="center"/>
          </w:tcPr>
          <w:p>
            <w:r>
              <w:rPr>
                <w:b/>
                <w:color w:val="FFFFFF"/>
                <w:sz w:val="16"/>
              </w:rPr>
              <w:t>Analysis</w:t>
            </w:r>
          </w:p>
        </w:tc>
      </w:tr>
      <w:tr>
        <w:trPr>
          <w:cantSplit/>
        </w:trPr>
        <w:tc>
          <w:tcPr>
            <w:tcW w:type="dxa" w:w="2015"/>
            <w:vAlign w:val="top"/>
          </w:tcPr>
          <w:p>
            <w:pPr>
              <w:spacing w:after="40"/>
            </w:pPr>
            <w:r>
              <w:rPr>
                <w:rFonts w:ascii="Aptos" w:hAnsi="Aptos"/>
                <w:color w:val="10243E"/>
                <w:sz w:val="16"/>
              </w:rPr>
              <w:t>Entry path</w:t>
            </w:r>
          </w:p>
        </w:tc>
        <w:tc>
          <w:tcPr>
            <w:tcW w:type="dxa" w:w="7920"/>
            <w:vAlign w:val="top"/>
          </w:tcPr>
          <w:p>
            <w:pPr>
              <w:spacing w:after="40"/>
            </w:pPr>
            <w:r>
              <w:rPr>
                <w:rFonts w:ascii="Aptos" w:hAnsi="Aptos"/>
                <w:color w:val="10243E"/>
                <w:sz w:val="16"/>
              </w:rPr>
              <w:t>Supplier impersonation using a subtly transposed email domain</w:t>
            </w:r>
          </w:p>
        </w:tc>
      </w:tr>
      <w:tr>
        <w:trPr>
          <w:cantSplit/>
        </w:trPr>
        <w:tc>
          <w:tcPr>
            <w:tcW w:type="dxa" w:w="2015"/>
            <w:vAlign w:val="top"/>
          </w:tcPr>
          <w:p>
            <w:pPr>
              <w:spacing w:after="40"/>
            </w:pPr>
            <w:r>
              <w:rPr>
                <w:rFonts w:ascii="Aptos" w:hAnsi="Aptos"/>
                <w:color w:val="10243E"/>
                <w:sz w:val="16"/>
              </w:rPr>
              <w:t>Exploited weakness</w:t>
            </w:r>
          </w:p>
        </w:tc>
        <w:tc>
          <w:tcPr>
            <w:tcW w:type="dxa" w:w="7920"/>
            <w:vAlign w:val="top"/>
          </w:tcPr>
          <w:p>
            <w:pPr>
              <w:spacing w:after="40"/>
            </w:pPr>
            <w:r>
              <w:rPr>
                <w:rFonts w:ascii="Aptos" w:hAnsi="Aptos"/>
                <w:color w:val="10243E"/>
                <w:sz w:val="16"/>
              </w:rPr>
              <w:t>Payment change accepted without independent verification</w:t>
            </w:r>
          </w:p>
        </w:tc>
      </w:tr>
      <w:tr>
        <w:trPr>
          <w:cantSplit/>
        </w:trPr>
        <w:tc>
          <w:tcPr>
            <w:tcW w:type="dxa" w:w="2015"/>
            <w:vAlign w:val="top"/>
          </w:tcPr>
          <w:p>
            <w:pPr>
              <w:spacing w:after="40"/>
            </w:pPr>
            <w:r>
              <w:rPr>
                <w:rFonts w:ascii="Aptos" w:hAnsi="Aptos"/>
                <w:color w:val="10243E"/>
                <w:sz w:val="16"/>
              </w:rPr>
              <w:t>Impact</w:t>
            </w:r>
          </w:p>
        </w:tc>
        <w:tc>
          <w:tcPr>
            <w:tcW w:type="dxa" w:w="7920"/>
            <w:vAlign w:val="top"/>
          </w:tcPr>
          <w:p>
            <w:pPr>
              <w:spacing w:after="40"/>
            </w:pPr>
            <w:r>
              <w:rPr>
                <w:rFonts w:ascii="Aptos" w:hAnsi="Aptos"/>
                <w:color w:val="10243E"/>
                <w:sz w:val="16"/>
              </w:rPr>
              <w:t>USD 6.6 million transferred; funds recovered after rapid reporting and international cooperation</w:t>
            </w:r>
          </w:p>
        </w:tc>
      </w:tr>
      <w:tr>
        <w:trPr>
          <w:cantSplit/>
        </w:trPr>
        <w:tc>
          <w:tcPr>
            <w:tcW w:type="dxa" w:w="2015"/>
            <w:vAlign w:val="top"/>
          </w:tcPr>
          <w:p>
            <w:pPr>
              <w:spacing w:after="40"/>
            </w:pPr>
            <w:r>
              <w:rPr>
                <w:rFonts w:ascii="Aptos" w:hAnsi="Aptos"/>
                <w:color w:val="10243E"/>
                <w:sz w:val="16"/>
              </w:rPr>
              <w:t>Defender signals</w:t>
            </w:r>
          </w:p>
        </w:tc>
        <w:tc>
          <w:tcPr>
            <w:tcW w:type="dxa" w:w="7920"/>
            <w:vAlign w:val="top"/>
          </w:tcPr>
          <w:p>
            <w:pPr>
              <w:spacing w:after="40"/>
            </w:pPr>
            <w:r>
              <w:rPr>
                <w:rFonts w:ascii="Aptos" w:hAnsi="Aptos"/>
                <w:color w:val="10243E"/>
                <w:sz w:val="16"/>
              </w:rPr>
              <w:t>Changed bank details, lookalike domain, urgency and unusual payment instructions</w:t>
            </w:r>
          </w:p>
        </w:tc>
      </w:tr>
      <w:tr>
        <w:trPr>
          <w:cantSplit/>
        </w:trPr>
        <w:tc>
          <w:tcPr>
            <w:tcW w:type="dxa" w:w="2015"/>
            <w:vAlign w:val="top"/>
          </w:tcPr>
          <w:p>
            <w:pPr>
              <w:spacing w:after="40"/>
            </w:pPr>
            <w:r>
              <w:rPr>
                <w:rFonts w:ascii="Aptos" w:hAnsi="Aptos"/>
                <w:color w:val="10243E"/>
                <w:sz w:val="16"/>
              </w:rPr>
              <w:t>Controls</w:t>
            </w:r>
          </w:p>
        </w:tc>
        <w:tc>
          <w:tcPr>
            <w:tcW w:type="dxa" w:w="7920"/>
            <w:vAlign w:val="top"/>
          </w:tcPr>
          <w:p>
            <w:pPr>
              <w:spacing w:after="40"/>
            </w:pPr>
            <w:r>
              <w:rPr>
                <w:rFonts w:ascii="Aptos" w:hAnsi="Aptos"/>
                <w:color w:val="10243E"/>
                <w:sz w:val="16"/>
              </w:rPr>
              <w:t>Call-back verification using known contacts, dual approval, domain checks, rapid bank and police escalation</w:t>
            </w:r>
          </w:p>
        </w:tc>
      </w:tr>
      <w:tr>
        <w:trPr>
          <w:cantSplit/>
        </w:trPr>
        <w:tc>
          <w:tcPr>
            <w:tcW w:type="dxa" w:w="2015"/>
            <w:vAlign w:val="top"/>
          </w:tcPr>
          <w:p>
            <w:pPr>
              <w:spacing w:after="40"/>
            </w:pPr>
            <w:r>
              <w:rPr>
                <w:rFonts w:ascii="Aptos" w:hAnsi="Aptos"/>
                <w:color w:val="10243E"/>
                <w:sz w:val="16"/>
              </w:rPr>
              <w:t>Transferable lesson</w:t>
            </w:r>
          </w:p>
        </w:tc>
        <w:tc>
          <w:tcPr>
            <w:tcW w:type="dxa" w:w="7920"/>
            <w:vAlign w:val="top"/>
          </w:tcPr>
          <w:p>
            <w:pPr>
              <w:spacing w:after="40"/>
            </w:pPr>
            <w:r>
              <w:rPr>
                <w:rFonts w:ascii="Aptos" w:hAnsi="Aptos"/>
                <w:color w:val="10243E"/>
                <w:sz w:val="16"/>
              </w:rPr>
              <w:t>A two-minute independent check can prevent a multi-million-dollar loss.</w:t>
            </w:r>
          </w:p>
        </w:tc>
      </w:tr>
    </w:tbl>
    <w:p>
      <w:pPr>
        <w:spacing w:before="80" w:after="120"/>
      </w:pPr>
      <w:r>
        <w:rPr>
          <w:b/>
          <w:color w:val="5F6B7A"/>
          <w:sz w:val="16"/>
        </w:rPr>
        <w:t xml:space="preserve">Source: </w:t>
      </w:r>
      <w:hyperlink r:id="rId14">
        <w:r>
          <w:rPr>
            <w:color w:val="176B87"/>
            <w:u w:val="single"/>
          </w:rPr>
          <w:t>Singapore Police Force — Recovery of Over USD 6.6 Million in BEC Case</w:t>
        </w:r>
      </w:hyperlink>
    </w:p>
    <w:p>
      <w:pPr>
        <w:pStyle w:val="Heading3"/>
      </w:pPr>
      <w:r>
        <w:t>Class discussion</w:t>
      </w:r>
    </w:p>
    <w:p>
      <w:pPr>
        <w:pStyle w:val="ListBullet"/>
      </w:pPr>
      <w:r>
        <w:t>Triage: Which part of this signal set would you trust first, and why — Changed bank details, lookalike domain, urgency and unusual payment instructions?</w:t>
      </w:r>
    </w:p>
    <w:p>
      <w:pPr>
        <w:pStyle w:val="ListBullet"/>
      </w:pPr>
      <w:r>
        <w:t>Decision: Which immediate action limits the stated impact without destroying evidence — USD 6.6 million transferred; funds recovered after rapid reporting and international cooperation?</w:t>
      </w:r>
    </w:p>
    <w:p>
      <w:pPr>
        <w:pStyle w:val="ListBullet"/>
      </w:pPr>
      <w:r>
        <w:t>Control: Which one control from this set should be verified first — Call-back verification using known contacts, dual approval, domain checks, rapid bank and police escalation?</w:t>
      </w:r>
    </w:p>
    <w:p>
      <w:pPr>
        <w:pStyle w:val="ListBullet"/>
      </w:pPr>
      <w:r>
        <w:t>Transfer: Where could the same entry path exist in a personal account, supplier relationship or small business today?</w:t>
      </w:r>
    </w:p>
    <w:p>
      <w:pPr>
        <w:pStyle w:val="Callout"/>
      </w:pPr>
      <w:r>
        <w:t>Brief-back standard: state the situation, confirmed evidence, likely impact, immediate safe action, uncertainty and the decision or authority required.</w:t>
      </w:r>
    </w:p>
    <w:p>
      <w:pPr>
        <w:pStyle w:val="Heading2"/>
      </w:pPr>
      <w:r>
        <w:t>Case 10: Target payment-card breach (United States, 2013)</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15"/>
            <w:shd w:fill="0B2545"/>
            <w:vAlign w:val="center"/>
          </w:tcPr>
          <w:p>
            <w:r>
              <w:rPr>
                <w:b/>
                <w:color w:val="FFFFFF"/>
                <w:sz w:val="16"/>
              </w:rPr>
              <w:t>Lens</w:t>
            </w:r>
          </w:p>
        </w:tc>
        <w:tc>
          <w:tcPr>
            <w:tcW w:type="dxa" w:w="7920"/>
            <w:shd w:fill="0B2545"/>
            <w:vAlign w:val="center"/>
          </w:tcPr>
          <w:p>
            <w:r>
              <w:rPr>
                <w:b/>
                <w:color w:val="FFFFFF"/>
                <w:sz w:val="16"/>
              </w:rPr>
              <w:t>Analysis</w:t>
            </w:r>
          </w:p>
        </w:tc>
      </w:tr>
      <w:tr>
        <w:trPr>
          <w:cantSplit/>
        </w:trPr>
        <w:tc>
          <w:tcPr>
            <w:tcW w:type="dxa" w:w="2015"/>
            <w:vAlign w:val="top"/>
          </w:tcPr>
          <w:p>
            <w:pPr>
              <w:spacing w:after="40"/>
            </w:pPr>
            <w:r>
              <w:rPr>
                <w:rFonts w:ascii="Aptos" w:hAnsi="Aptos"/>
                <w:color w:val="10243E"/>
                <w:sz w:val="16"/>
              </w:rPr>
              <w:t>Entry path</w:t>
            </w:r>
          </w:p>
        </w:tc>
        <w:tc>
          <w:tcPr>
            <w:tcW w:type="dxa" w:w="7920"/>
            <w:vAlign w:val="top"/>
          </w:tcPr>
          <w:p>
            <w:pPr>
              <w:spacing w:after="40"/>
            </w:pPr>
            <w:r>
              <w:rPr>
                <w:rFonts w:ascii="Aptos" w:hAnsi="Aptos"/>
                <w:color w:val="10243E"/>
                <w:sz w:val="16"/>
              </w:rPr>
              <w:t>Stolen third-party vendor credentials enabled access into the retailer environment</w:t>
            </w:r>
          </w:p>
        </w:tc>
      </w:tr>
      <w:tr>
        <w:trPr>
          <w:cantSplit/>
        </w:trPr>
        <w:tc>
          <w:tcPr>
            <w:tcW w:type="dxa" w:w="2015"/>
            <w:vAlign w:val="top"/>
          </w:tcPr>
          <w:p>
            <w:pPr>
              <w:spacing w:after="40"/>
            </w:pPr>
            <w:r>
              <w:rPr>
                <w:rFonts w:ascii="Aptos" w:hAnsi="Aptos"/>
                <w:color w:val="10243E"/>
                <w:sz w:val="16"/>
              </w:rPr>
              <w:t>Exploited weakness</w:t>
            </w:r>
          </w:p>
        </w:tc>
        <w:tc>
          <w:tcPr>
            <w:tcW w:type="dxa" w:w="7920"/>
            <w:vAlign w:val="top"/>
          </w:tcPr>
          <w:p>
            <w:pPr>
              <w:spacing w:after="40"/>
            </w:pPr>
            <w:r>
              <w:rPr>
                <w:rFonts w:ascii="Aptos" w:hAnsi="Aptos"/>
                <w:color w:val="10243E"/>
                <w:sz w:val="16"/>
              </w:rPr>
              <w:t>Supplier access, weak separation and missed opportunities to act on security alerts</w:t>
            </w:r>
          </w:p>
        </w:tc>
      </w:tr>
      <w:tr>
        <w:trPr>
          <w:cantSplit/>
        </w:trPr>
        <w:tc>
          <w:tcPr>
            <w:tcW w:type="dxa" w:w="2015"/>
            <w:vAlign w:val="top"/>
          </w:tcPr>
          <w:p>
            <w:pPr>
              <w:spacing w:after="40"/>
            </w:pPr>
            <w:r>
              <w:rPr>
                <w:rFonts w:ascii="Aptos" w:hAnsi="Aptos"/>
                <w:color w:val="10243E"/>
                <w:sz w:val="16"/>
              </w:rPr>
              <w:t>Impact</w:t>
            </w:r>
          </w:p>
        </w:tc>
        <w:tc>
          <w:tcPr>
            <w:tcW w:type="dxa" w:w="7920"/>
            <w:vAlign w:val="top"/>
          </w:tcPr>
          <w:p>
            <w:pPr>
              <w:spacing w:after="40"/>
            </w:pPr>
            <w:r>
              <w:rPr>
                <w:rFonts w:ascii="Aptos" w:hAnsi="Aptos"/>
                <w:color w:val="10243E"/>
                <w:sz w:val="16"/>
              </w:rPr>
              <w:t>Payment-card information and personal data associated with tens of millions of customers were exposed</w:t>
            </w:r>
          </w:p>
        </w:tc>
      </w:tr>
      <w:tr>
        <w:trPr>
          <w:cantSplit/>
        </w:trPr>
        <w:tc>
          <w:tcPr>
            <w:tcW w:type="dxa" w:w="2015"/>
            <w:vAlign w:val="top"/>
          </w:tcPr>
          <w:p>
            <w:pPr>
              <w:spacing w:after="40"/>
            </w:pPr>
            <w:r>
              <w:rPr>
                <w:rFonts w:ascii="Aptos" w:hAnsi="Aptos"/>
                <w:color w:val="10243E"/>
                <w:sz w:val="16"/>
              </w:rPr>
              <w:t>Defender signals</w:t>
            </w:r>
          </w:p>
        </w:tc>
        <w:tc>
          <w:tcPr>
            <w:tcW w:type="dxa" w:w="7920"/>
            <w:vAlign w:val="top"/>
          </w:tcPr>
          <w:p>
            <w:pPr>
              <w:spacing w:after="40"/>
            </w:pPr>
            <w:r>
              <w:rPr>
                <w:rFonts w:ascii="Aptos" w:hAnsi="Aptos"/>
                <w:color w:val="10243E"/>
                <w:sz w:val="16"/>
              </w:rPr>
              <w:t>Malware alerts, unusual internal movement and outbound data transfers</w:t>
            </w:r>
          </w:p>
        </w:tc>
      </w:tr>
      <w:tr>
        <w:trPr>
          <w:cantSplit/>
        </w:trPr>
        <w:tc>
          <w:tcPr>
            <w:tcW w:type="dxa" w:w="2015"/>
            <w:vAlign w:val="top"/>
          </w:tcPr>
          <w:p>
            <w:pPr>
              <w:spacing w:after="40"/>
            </w:pPr>
            <w:r>
              <w:rPr>
                <w:rFonts w:ascii="Aptos" w:hAnsi="Aptos"/>
                <w:color w:val="10243E"/>
                <w:sz w:val="16"/>
              </w:rPr>
              <w:t>Controls</w:t>
            </w:r>
          </w:p>
        </w:tc>
        <w:tc>
          <w:tcPr>
            <w:tcW w:type="dxa" w:w="7920"/>
            <w:vAlign w:val="top"/>
          </w:tcPr>
          <w:p>
            <w:pPr>
              <w:spacing w:after="40"/>
            </w:pPr>
            <w:r>
              <w:rPr>
                <w:rFonts w:ascii="Aptos" w:hAnsi="Aptos"/>
                <w:color w:val="10243E"/>
                <w:sz w:val="16"/>
              </w:rPr>
              <w:t>Supplier MFA, segmented vendor access, alert ownership, egress monitoring and tested incident escalation</w:t>
            </w:r>
          </w:p>
        </w:tc>
      </w:tr>
      <w:tr>
        <w:trPr>
          <w:cantSplit/>
        </w:trPr>
        <w:tc>
          <w:tcPr>
            <w:tcW w:type="dxa" w:w="2015"/>
            <w:vAlign w:val="top"/>
          </w:tcPr>
          <w:p>
            <w:pPr>
              <w:spacing w:after="40"/>
            </w:pPr>
            <w:r>
              <w:rPr>
                <w:rFonts w:ascii="Aptos" w:hAnsi="Aptos"/>
                <w:color w:val="10243E"/>
                <w:sz w:val="16"/>
              </w:rPr>
              <w:t>Transferable lesson</w:t>
            </w:r>
          </w:p>
        </w:tc>
        <w:tc>
          <w:tcPr>
            <w:tcW w:type="dxa" w:w="7920"/>
            <w:vAlign w:val="top"/>
          </w:tcPr>
          <w:p>
            <w:pPr>
              <w:spacing w:after="40"/>
            </w:pPr>
            <w:r>
              <w:rPr>
                <w:rFonts w:ascii="Aptos" w:hAnsi="Aptos"/>
                <w:color w:val="10243E"/>
                <w:sz w:val="16"/>
              </w:rPr>
              <w:t>A low-privilege supplier pathway can become a high-impact route when trust boundaries are weak.</w:t>
            </w:r>
          </w:p>
        </w:tc>
      </w:tr>
    </w:tbl>
    <w:p>
      <w:pPr>
        <w:spacing w:before="80" w:after="120"/>
      </w:pPr>
      <w:r>
        <w:rPr>
          <w:b/>
          <w:color w:val="5F6B7A"/>
          <w:sz w:val="16"/>
        </w:rPr>
        <w:t xml:space="preserve">Source: </w:t>
      </w:r>
      <w:hyperlink r:id="rId23">
        <w:r>
          <w:rPr>
            <w:color w:val="176B87"/>
            <w:u w:val="single"/>
          </w:rPr>
          <w:t>U.S. Senate Committee on Commerce — Target's Missed Opportunities to Stop a Data Breach</w:t>
        </w:r>
      </w:hyperlink>
    </w:p>
    <w:p>
      <w:pPr>
        <w:pStyle w:val="Heading3"/>
      </w:pPr>
      <w:r>
        <w:t>Class discussion</w:t>
      </w:r>
    </w:p>
    <w:p>
      <w:pPr>
        <w:pStyle w:val="ListBullet"/>
      </w:pPr>
      <w:r>
        <w:t>Triage: Which part of this signal set would you trust first, and why — Malware alerts, unusual internal movement and outbound data transfers?</w:t>
      </w:r>
    </w:p>
    <w:p>
      <w:pPr>
        <w:pStyle w:val="ListBullet"/>
      </w:pPr>
      <w:r>
        <w:t>Decision: Which immediate action limits the stated impact without destroying evidence — Payment-card information and personal data associated with tens of millions of customers were exposed?</w:t>
      </w:r>
    </w:p>
    <w:p>
      <w:pPr>
        <w:pStyle w:val="ListBullet"/>
      </w:pPr>
      <w:r>
        <w:t>Control: Which one control from this set should be verified first — Supplier MFA, segmented vendor access, alert ownership, egress monitoring and tested incident escalation?</w:t>
      </w:r>
    </w:p>
    <w:p>
      <w:pPr>
        <w:pStyle w:val="ListBullet"/>
      </w:pPr>
      <w:r>
        <w:t>Transfer: Where could the same entry path exist in a personal account, supplier relationship or small business today?</w:t>
      </w:r>
    </w:p>
    <w:p>
      <w:pPr>
        <w:pStyle w:val="Callout"/>
      </w:pPr>
      <w:r>
        <w:t>Brief-back standard: state the situation, confirmed evidence, likely impact, immediate safe action, uncertainty and the decision or authority required.</w:t>
      </w:r>
    </w:p>
    <w:p>
      <w:pPr>
        <w:pStyle w:val="Heading2"/>
      </w:pPr>
      <w:r>
        <w:t>Case 11: NotPetya disruption at Maersk (Global shipping, 2017)</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15"/>
            <w:shd w:fill="0B2545"/>
            <w:vAlign w:val="center"/>
          </w:tcPr>
          <w:p>
            <w:r>
              <w:rPr>
                <w:b/>
                <w:color w:val="FFFFFF"/>
                <w:sz w:val="16"/>
              </w:rPr>
              <w:t>Lens</w:t>
            </w:r>
          </w:p>
        </w:tc>
        <w:tc>
          <w:tcPr>
            <w:tcW w:type="dxa" w:w="7920"/>
            <w:shd w:fill="0B2545"/>
            <w:vAlign w:val="center"/>
          </w:tcPr>
          <w:p>
            <w:r>
              <w:rPr>
                <w:b/>
                <w:color w:val="FFFFFF"/>
                <w:sz w:val="16"/>
              </w:rPr>
              <w:t>Analysis</w:t>
            </w:r>
          </w:p>
        </w:tc>
      </w:tr>
      <w:tr>
        <w:trPr>
          <w:cantSplit/>
        </w:trPr>
        <w:tc>
          <w:tcPr>
            <w:tcW w:type="dxa" w:w="2015"/>
            <w:vAlign w:val="top"/>
          </w:tcPr>
          <w:p>
            <w:pPr>
              <w:spacing w:after="40"/>
            </w:pPr>
            <w:r>
              <w:rPr>
                <w:rFonts w:ascii="Aptos" w:hAnsi="Aptos"/>
                <w:color w:val="10243E"/>
                <w:sz w:val="16"/>
              </w:rPr>
              <w:t>Entry path</w:t>
            </w:r>
          </w:p>
        </w:tc>
        <w:tc>
          <w:tcPr>
            <w:tcW w:type="dxa" w:w="7920"/>
            <w:vAlign w:val="top"/>
          </w:tcPr>
          <w:p>
            <w:pPr>
              <w:spacing w:after="40"/>
            </w:pPr>
            <w:r>
              <w:rPr>
                <w:rFonts w:ascii="Aptos" w:hAnsi="Aptos"/>
                <w:color w:val="10243E"/>
                <w:sz w:val="16"/>
              </w:rPr>
              <w:t>Destructive malware entered through compromised Ukrainian accounting software and spread globally</w:t>
            </w:r>
          </w:p>
        </w:tc>
      </w:tr>
      <w:tr>
        <w:trPr>
          <w:cantSplit/>
        </w:trPr>
        <w:tc>
          <w:tcPr>
            <w:tcW w:type="dxa" w:w="2015"/>
            <w:vAlign w:val="top"/>
          </w:tcPr>
          <w:p>
            <w:pPr>
              <w:spacing w:after="40"/>
            </w:pPr>
            <w:r>
              <w:rPr>
                <w:rFonts w:ascii="Aptos" w:hAnsi="Aptos"/>
                <w:color w:val="10243E"/>
                <w:sz w:val="16"/>
              </w:rPr>
              <w:t>Exploited weakness</w:t>
            </w:r>
          </w:p>
        </w:tc>
        <w:tc>
          <w:tcPr>
            <w:tcW w:type="dxa" w:w="7920"/>
            <w:vAlign w:val="top"/>
          </w:tcPr>
          <w:p>
            <w:pPr>
              <w:spacing w:after="40"/>
            </w:pPr>
            <w:r>
              <w:rPr>
                <w:rFonts w:ascii="Aptos" w:hAnsi="Aptos"/>
                <w:color w:val="10243E"/>
                <w:sz w:val="16"/>
              </w:rPr>
              <w:t>Trusted software pathway, flat connectivity and operational dependence on shared digital services</w:t>
            </w:r>
          </w:p>
        </w:tc>
      </w:tr>
      <w:tr>
        <w:trPr>
          <w:cantSplit/>
        </w:trPr>
        <w:tc>
          <w:tcPr>
            <w:tcW w:type="dxa" w:w="2015"/>
            <w:vAlign w:val="top"/>
          </w:tcPr>
          <w:p>
            <w:pPr>
              <w:spacing w:after="40"/>
            </w:pPr>
            <w:r>
              <w:rPr>
                <w:rFonts w:ascii="Aptos" w:hAnsi="Aptos"/>
                <w:color w:val="10243E"/>
                <w:sz w:val="16"/>
              </w:rPr>
              <w:t>Impact</w:t>
            </w:r>
          </w:p>
        </w:tc>
        <w:tc>
          <w:tcPr>
            <w:tcW w:type="dxa" w:w="7920"/>
            <w:vAlign w:val="top"/>
          </w:tcPr>
          <w:p>
            <w:pPr>
              <w:spacing w:after="40"/>
            </w:pPr>
            <w:r>
              <w:rPr>
                <w:rFonts w:ascii="Aptos" w:hAnsi="Aptos"/>
                <w:color w:val="10243E"/>
                <w:sz w:val="16"/>
              </w:rPr>
              <w:t>Global applications and data were unavailable for days; port and shipping operations were disrupted</w:t>
            </w:r>
          </w:p>
        </w:tc>
      </w:tr>
      <w:tr>
        <w:trPr>
          <w:cantSplit/>
        </w:trPr>
        <w:tc>
          <w:tcPr>
            <w:tcW w:type="dxa" w:w="2015"/>
            <w:vAlign w:val="top"/>
          </w:tcPr>
          <w:p>
            <w:pPr>
              <w:spacing w:after="40"/>
            </w:pPr>
            <w:r>
              <w:rPr>
                <w:rFonts w:ascii="Aptos" w:hAnsi="Aptos"/>
                <w:color w:val="10243E"/>
                <w:sz w:val="16"/>
              </w:rPr>
              <w:t>Defender signals</w:t>
            </w:r>
          </w:p>
        </w:tc>
        <w:tc>
          <w:tcPr>
            <w:tcW w:type="dxa" w:w="7920"/>
            <w:vAlign w:val="top"/>
          </w:tcPr>
          <w:p>
            <w:pPr>
              <w:spacing w:after="40"/>
            </w:pPr>
            <w:r>
              <w:rPr>
                <w:rFonts w:ascii="Aptos" w:hAnsi="Aptos"/>
                <w:color w:val="10243E"/>
                <w:sz w:val="16"/>
              </w:rPr>
              <w:t>Rapid cross-site outages, unavailable systems and destructive behaviour rather than a recoverable ransom event</w:t>
            </w:r>
          </w:p>
        </w:tc>
      </w:tr>
      <w:tr>
        <w:trPr>
          <w:cantSplit/>
        </w:trPr>
        <w:tc>
          <w:tcPr>
            <w:tcW w:type="dxa" w:w="2015"/>
            <w:vAlign w:val="top"/>
          </w:tcPr>
          <w:p>
            <w:pPr>
              <w:spacing w:after="40"/>
            </w:pPr>
            <w:r>
              <w:rPr>
                <w:rFonts w:ascii="Aptos" w:hAnsi="Aptos"/>
                <w:color w:val="10243E"/>
                <w:sz w:val="16"/>
              </w:rPr>
              <w:t>Controls</w:t>
            </w:r>
          </w:p>
        </w:tc>
        <w:tc>
          <w:tcPr>
            <w:tcW w:type="dxa" w:w="7920"/>
            <w:vAlign w:val="top"/>
          </w:tcPr>
          <w:p>
            <w:pPr>
              <w:spacing w:after="40"/>
            </w:pPr>
            <w:r>
              <w:rPr>
                <w:rFonts w:ascii="Aptos" w:hAnsi="Aptos"/>
                <w:color w:val="10243E"/>
                <w:sz w:val="16"/>
              </w:rPr>
              <w:t>Supplier risk controls, segmentation, isolated recovery capability, offline identity services and business workarounds</w:t>
            </w:r>
          </w:p>
        </w:tc>
      </w:tr>
      <w:tr>
        <w:trPr>
          <w:cantSplit/>
        </w:trPr>
        <w:tc>
          <w:tcPr>
            <w:tcW w:type="dxa" w:w="2015"/>
            <w:vAlign w:val="top"/>
          </w:tcPr>
          <w:p>
            <w:pPr>
              <w:spacing w:after="40"/>
            </w:pPr>
            <w:r>
              <w:rPr>
                <w:rFonts w:ascii="Aptos" w:hAnsi="Aptos"/>
                <w:color w:val="10243E"/>
                <w:sz w:val="16"/>
              </w:rPr>
              <w:t>Transferable lesson</w:t>
            </w:r>
          </w:p>
        </w:tc>
        <w:tc>
          <w:tcPr>
            <w:tcW w:type="dxa" w:w="7920"/>
            <w:vAlign w:val="top"/>
          </w:tcPr>
          <w:p>
            <w:pPr>
              <w:spacing w:after="40"/>
            </w:pPr>
            <w:r>
              <w:rPr>
                <w:rFonts w:ascii="Aptos" w:hAnsi="Aptos"/>
                <w:color w:val="10243E"/>
                <w:sz w:val="16"/>
              </w:rPr>
              <w:t>An organisation can suffer severe collateral damage even when it is not the intended target.</w:t>
            </w:r>
          </w:p>
        </w:tc>
      </w:tr>
    </w:tbl>
    <w:p>
      <w:pPr>
        <w:spacing w:before="80" w:after="120"/>
      </w:pPr>
      <w:r>
        <w:rPr>
          <w:b/>
          <w:color w:val="5F6B7A"/>
          <w:sz w:val="16"/>
        </w:rPr>
        <w:t xml:space="preserve">Source: </w:t>
      </w:r>
      <w:hyperlink r:id="rId24">
        <w:r>
          <w:rPr>
            <w:color w:val="176B87"/>
            <w:u w:val="single"/>
          </w:rPr>
          <w:t>UK Department for Transport — Cyber Security for Ports and Port Systems</w:t>
        </w:r>
      </w:hyperlink>
    </w:p>
    <w:p>
      <w:pPr>
        <w:pStyle w:val="Heading3"/>
      </w:pPr>
      <w:r>
        <w:t>Class discussion</w:t>
      </w:r>
    </w:p>
    <w:p>
      <w:pPr>
        <w:pStyle w:val="ListBullet"/>
      </w:pPr>
      <w:r>
        <w:t>Triage: Which part of this signal set would you trust first, and why — Rapid cross-site outages, unavailable systems and destructive behaviour rather than a recoverable ransom event?</w:t>
      </w:r>
    </w:p>
    <w:p>
      <w:pPr>
        <w:pStyle w:val="ListBullet"/>
      </w:pPr>
      <w:r>
        <w:t>Decision: Which immediate action limits the stated impact without destroying evidence — Global applications and data were unavailable for days; port and shipping operations were disrupted?</w:t>
      </w:r>
    </w:p>
    <w:p>
      <w:pPr>
        <w:pStyle w:val="ListBullet"/>
      </w:pPr>
      <w:r>
        <w:t>Control: Which one control from this set should be verified first — Supplier risk controls, segmentation, isolated recovery capability, offline identity services and business workarounds?</w:t>
      </w:r>
    </w:p>
    <w:p>
      <w:pPr>
        <w:pStyle w:val="ListBullet"/>
      </w:pPr>
      <w:r>
        <w:t>Transfer: Where could the same entry path exist in a personal account, supplier relationship or small business today?</w:t>
      </w:r>
    </w:p>
    <w:p>
      <w:pPr>
        <w:pStyle w:val="Callout"/>
      </w:pPr>
      <w:r>
        <w:t>Brief-back standard: state the situation, confirmed evidence, likely impact, immediate safe action, uncertainty and the decision or authority required.</w:t>
      </w:r>
    </w:p>
    <w:p>
      <w:pPr>
        <w:pStyle w:val="Heading2"/>
      </w:pPr>
      <w:r>
        <w:t>Case 12: Marriott Starwood data breach (Global hospitality, disclosed 2018)</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15"/>
            <w:shd w:fill="0B2545"/>
            <w:vAlign w:val="center"/>
          </w:tcPr>
          <w:p>
            <w:r>
              <w:rPr>
                <w:b/>
                <w:color w:val="FFFFFF"/>
                <w:sz w:val="16"/>
              </w:rPr>
              <w:t>Lens</w:t>
            </w:r>
          </w:p>
        </w:tc>
        <w:tc>
          <w:tcPr>
            <w:tcW w:type="dxa" w:w="7920"/>
            <w:shd w:fill="0B2545"/>
            <w:vAlign w:val="center"/>
          </w:tcPr>
          <w:p>
            <w:r>
              <w:rPr>
                <w:b/>
                <w:color w:val="FFFFFF"/>
                <w:sz w:val="16"/>
              </w:rPr>
              <w:t>Analysis</w:t>
            </w:r>
          </w:p>
        </w:tc>
      </w:tr>
      <w:tr>
        <w:trPr>
          <w:cantSplit/>
        </w:trPr>
        <w:tc>
          <w:tcPr>
            <w:tcW w:type="dxa" w:w="2015"/>
            <w:vAlign w:val="top"/>
          </w:tcPr>
          <w:p>
            <w:pPr>
              <w:spacing w:after="40"/>
            </w:pPr>
            <w:r>
              <w:rPr>
                <w:rFonts w:ascii="Aptos" w:hAnsi="Aptos"/>
                <w:color w:val="10243E"/>
                <w:sz w:val="16"/>
              </w:rPr>
              <w:t>Entry path</w:t>
            </w:r>
          </w:p>
        </w:tc>
        <w:tc>
          <w:tcPr>
            <w:tcW w:type="dxa" w:w="7920"/>
            <w:vAlign w:val="top"/>
          </w:tcPr>
          <w:p>
            <w:pPr>
              <w:spacing w:after="40"/>
            </w:pPr>
            <w:r>
              <w:rPr>
                <w:rFonts w:ascii="Aptos" w:hAnsi="Aptos"/>
                <w:color w:val="10243E"/>
                <w:sz w:val="16"/>
              </w:rPr>
              <w:t>Long-running unauthorised access in an acquired reservation environment</w:t>
            </w:r>
          </w:p>
        </w:tc>
      </w:tr>
      <w:tr>
        <w:trPr>
          <w:cantSplit/>
        </w:trPr>
        <w:tc>
          <w:tcPr>
            <w:tcW w:type="dxa" w:w="2015"/>
            <w:vAlign w:val="top"/>
          </w:tcPr>
          <w:p>
            <w:pPr>
              <w:spacing w:after="40"/>
            </w:pPr>
            <w:r>
              <w:rPr>
                <w:rFonts w:ascii="Aptos" w:hAnsi="Aptos"/>
                <w:color w:val="10243E"/>
                <w:sz w:val="16"/>
              </w:rPr>
              <w:t>Exploited weakness</w:t>
            </w:r>
          </w:p>
        </w:tc>
        <w:tc>
          <w:tcPr>
            <w:tcW w:type="dxa" w:w="7920"/>
            <w:vAlign w:val="top"/>
          </w:tcPr>
          <w:p>
            <w:pPr>
              <w:spacing w:after="40"/>
            </w:pPr>
            <w:r>
              <w:rPr>
                <w:rFonts w:ascii="Aptos" w:hAnsi="Aptos"/>
                <w:color w:val="10243E"/>
                <w:sz w:val="16"/>
              </w:rPr>
              <w:t>Acquisition due diligence, legacy-system monitoring and delayed detection</w:t>
            </w:r>
          </w:p>
        </w:tc>
      </w:tr>
      <w:tr>
        <w:trPr>
          <w:cantSplit/>
        </w:trPr>
        <w:tc>
          <w:tcPr>
            <w:tcW w:type="dxa" w:w="2015"/>
            <w:vAlign w:val="top"/>
          </w:tcPr>
          <w:p>
            <w:pPr>
              <w:spacing w:after="40"/>
            </w:pPr>
            <w:r>
              <w:rPr>
                <w:rFonts w:ascii="Aptos" w:hAnsi="Aptos"/>
                <w:color w:val="10243E"/>
                <w:sz w:val="16"/>
              </w:rPr>
              <w:t>Impact</w:t>
            </w:r>
          </w:p>
        </w:tc>
        <w:tc>
          <w:tcPr>
            <w:tcW w:type="dxa" w:w="7920"/>
            <w:vAlign w:val="top"/>
          </w:tcPr>
          <w:p>
            <w:pPr>
              <w:spacing w:after="40"/>
            </w:pPr>
            <w:r>
              <w:rPr>
                <w:rFonts w:ascii="Aptos" w:hAnsi="Aptos"/>
                <w:color w:val="10243E"/>
                <w:sz w:val="16"/>
              </w:rPr>
              <w:t>Large-scale exposure of guest records and sustained regulatory and customer consequences</w:t>
            </w:r>
          </w:p>
        </w:tc>
      </w:tr>
      <w:tr>
        <w:trPr>
          <w:cantSplit/>
        </w:trPr>
        <w:tc>
          <w:tcPr>
            <w:tcW w:type="dxa" w:w="2015"/>
            <w:vAlign w:val="top"/>
          </w:tcPr>
          <w:p>
            <w:pPr>
              <w:spacing w:after="40"/>
            </w:pPr>
            <w:r>
              <w:rPr>
                <w:rFonts w:ascii="Aptos" w:hAnsi="Aptos"/>
                <w:color w:val="10243E"/>
                <w:sz w:val="16"/>
              </w:rPr>
              <w:t>Defender signals</w:t>
            </w:r>
          </w:p>
        </w:tc>
        <w:tc>
          <w:tcPr>
            <w:tcW w:type="dxa" w:w="7920"/>
            <w:vAlign w:val="top"/>
          </w:tcPr>
          <w:p>
            <w:pPr>
              <w:spacing w:after="40"/>
            </w:pPr>
            <w:r>
              <w:rPr>
                <w:rFonts w:ascii="Aptos" w:hAnsi="Aptos"/>
                <w:color w:val="10243E"/>
                <w:sz w:val="16"/>
              </w:rPr>
              <w:t>Compromised accounts, database activity and anomalous access within a legacy environment</w:t>
            </w:r>
          </w:p>
        </w:tc>
      </w:tr>
      <w:tr>
        <w:trPr>
          <w:cantSplit/>
        </w:trPr>
        <w:tc>
          <w:tcPr>
            <w:tcW w:type="dxa" w:w="2015"/>
            <w:vAlign w:val="top"/>
          </w:tcPr>
          <w:p>
            <w:pPr>
              <w:spacing w:after="40"/>
            </w:pPr>
            <w:r>
              <w:rPr>
                <w:rFonts w:ascii="Aptos" w:hAnsi="Aptos"/>
                <w:color w:val="10243E"/>
                <w:sz w:val="16"/>
              </w:rPr>
              <w:t>Controls</w:t>
            </w:r>
          </w:p>
        </w:tc>
        <w:tc>
          <w:tcPr>
            <w:tcW w:type="dxa" w:w="7920"/>
            <w:vAlign w:val="top"/>
          </w:tcPr>
          <w:p>
            <w:pPr>
              <w:spacing w:after="40"/>
            </w:pPr>
            <w:r>
              <w:rPr>
                <w:rFonts w:ascii="Aptos" w:hAnsi="Aptos"/>
                <w:color w:val="10243E"/>
                <w:sz w:val="16"/>
              </w:rPr>
              <w:t>Pre-acquisition security assurance, rapid integration, identity reset, continuous monitoring and data minimisation</w:t>
            </w:r>
          </w:p>
        </w:tc>
      </w:tr>
      <w:tr>
        <w:trPr>
          <w:cantSplit/>
        </w:trPr>
        <w:tc>
          <w:tcPr>
            <w:tcW w:type="dxa" w:w="2015"/>
            <w:vAlign w:val="top"/>
          </w:tcPr>
          <w:p>
            <w:pPr>
              <w:spacing w:after="40"/>
            </w:pPr>
            <w:r>
              <w:rPr>
                <w:rFonts w:ascii="Aptos" w:hAnsi="Aptos"/>
                <w:color w:val="10243E"/>
                <w:sz w:val="16"/>
              </w:rPr>
              <w:t>Transferable lesson</w:t>
            </w:r>
          </w:p>
        </w:tc>
        <w:tc>
          <w:tcPr>
            <w:tcW w:type="dxa" w:w="7920"/>
            <w:vAlign w:val="top"/>
          </w:tcPr>
          <w:p>
            <w:pPr>
              <w:spacing w:after="40"/>
            </w:pPr>
            <w:r>
              <w:rPr>
                <w:rFonts w:ascii="Aptos" w:hAnsi="Aptos"/>
                <w:color w:val="10243E"/>
                <w:sz w:val="16"/>
              </w:rPr>
              <w:t>Cyber risk transfers with an acquisition unless inherited systems and identities are independently verified.</w:t>
            </w:r>
          </w:p>
        </w:tc>
      </w:tr>
    </w:tbl>
    <w:p>
      <w:pPr>
        <w:spacing w:before="80" w:after="120"/>
      </w:pPr>
      <w:r>
        <w:rPr>
          <w:b/>
          <w:color w:val="5F6B7A"/>
          <w:sz w:val="16"/>
        </w:rPr>
        <w:t xml:space="preserve">Source: </w:t>
      </w:r>
      <w:hyperlink r:id="rId25">
        <w:r>
          <w:rPr>
            <w:color w:val="176B87"/>
            <w:u w:val="single"/>
          </w:rPr>
          <w:t>UK Information Commissioner's Office — Marriott International Monetary Penalty Notice</w:t>
        </w:r>
      </w:hyperlink>
    </w:p>
    <w:p>
      <w:pPr>
        <w:pStyle w:val="Heading3"/>
      </w:pPr>
      <w:r>
        <w:t>Class discussion</w:t>
      </w:r>
    </w:p>
    <w:p>
      <w:pPr>
        <w:pStyle w:val="ListBullet"/>
      </w:pPr>
      <w:r>
        <w:t>Triage: Which part of this signal set would you trust first, and why — Compromised accounts, database activity and anomalous access within a legacy environment?</w:t>
      </w:r>
    </w:p>
    <w:p>
      <w:pPr>
        <w:pStyle w:val="ListBullet"/>
      </w:pPr>
      <w:r>
        <w:t>Decision: Which immediate action limits the stated impact without destroying evidence — Large-scale exposure of guest records and sustained regulatory and customer consequences?</w:t>
      </w:r>
    </w:p>
    <w:p>
      <w:pPr>
        <w:pStyle w:val="ListBullet"/>
      </w:pPr>
      <w:r>
        <w:t>Control: Which one control from this set should be verified first — Pre-acquisition security assurance, rapid integration, identity reset, continuous monitoring and data minimisation?</w:t>
      </w:r>
    </w:p>
    <w:p>
      <w:pPr>
        <w:pStyle w:val="ListBullet"/>
      </w:pPr>
      <w:r>
        <w:t>Transfer: Where could the same entry path exist in a personal account, supplier relationship or small business today?</w:t>
      </w:r>
    </w:p>
    <w:p>
      <w:pPr>
        <w:pStyle w:val="Callout"/>
      </w:pPr>
      <w:r>
        <w:t>Brief-back standard: state the situation, confirmed evidence, likely impact, immediate safe action, uncertainty and the decision or authority required.</w:t>
      </w:r>
    </w:p>
    <w:p>
      <w:pPr>
        <w:pStyle w:val="Heading2"/>
      </w:pPr>
      <w:r>
        <w:t>Case 13: Capital One cloud data breach (United States, 2019)</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15"/>
            <w:shd w:fill="0B2545"/>
            <w:vAlign w:val="center"/>
          </w:tcPr>
          <w:p>
            <w:r>
              <w:rPr>
                <w:b/>
                <w:color w:val="FFFFFF"/>
                <w:sz w:val="16"/>
              </w:rPr>
              <w:t>Lens</w:t>
            </w:r>
          </w:p>
        </w:tc>
        <w:tc>
          <w:tcPr>
            <w:tcW w:type="dxa" w:w="7920"/>
            <w:shd w:fill="0B2545"/>
            <w:vAlign w:val="center"/>
          </w:tcPr>
          <w:p>
            <w:r>
              <w:rPr>
                <w:b/>
                <w:color w:val="FFFFFF"/>
                <w:sz w:val="16"/>
              </w:rPr>
              <w:t>Analysis</w:t>
            </w:r>
          </w:p>
        </w:tc>
      </w:tr>
      <w:tr>
        <w:trPr>
          <w:cantSplit/>
        </w:trPr>
        <w:tc>
          <w:tcPr>
            <w:tcW w:type="dxa" w:w="2015"/>
            <w:vAlign w:val="top"/>
          </w:tcPr>
          <w:p>
            <w:pPr>
              <w:spacing w:after="40"/>
            </w:pPr>
            <w:r>
              <w:rPr>
                <w:rFonts w:ascii="Aptos" w:hAnsi="Aptos"/>
                <w:color w:val="10243E"/>
                <w:sz w:val="16"/>
              </w:rPr>
              <w:t>Entry path</w:t>
            </w:r>
          </w:p>
        </w:tc>
        <w:tc>
          <w:tcPr>
            <w:tcW w:type="dxa" w:w="7920"/>
            <w:vAlign w:val="top"/>
          </w:tcPr>
          <w:p>
            <w:pPr>
              <w:spacing w:after="40"/>
            </w:pPr>
            <w:r>
              <w:rPr>
                <w:rFonts w:ascii="Aptos" w:hAnsi="Aptos"/>
                <w:color w:val="10243E"/>
                <w:sz w:val="16"/>
              </w:rPr>
              <w:t>A misconfigured web application firewall enabled access to cloud-hosted data</w:t>
            </w:r>
          </w:p>
        </w:tc>
      </w:tr>
      <w:tr>
        <w:trPr>
          <w:cantSplit/>
        </w:trPr>
        <w:tc>
          <w:tcPr>
            <w:tcW w:type="dxa" w:w="2015"/>
            <w:vAlign w:val="top"/>
          </w:tcPr>
          <w:p>
            <w:pPr>
              <w:spacing w:after="40"/>
            </w:pPr>
            <w:r>
              <w:rPr>
                <w:rFonts w:ascii="Aptos" w:hAnsi="Aptos"/>
                <w:color w:val="10243E"/>
                <w:sz w:val="16"/>
              </w:rPr>
              <w:t>Exploited weakness</w:t>
            </w:r>
          </w:p>
        </w:tc>
        <w:tc>
          <w:tcPr>
            <w:tcW w:type="dxa" w:w="7920"/>
            <w:vAlign w:val="top"/>
          </w:tcPr>
          <w:p>
            <w:pPr>
              <w:spacing w:after="40"/>
            </w:pPr>
            <w:r>
              <w:rPr>
                <w:rFonts w:ascii="Aptos" w:hAnsi="Aptos"/>
                <w:color w:val="10243E"/>
                <w:sz w:val="16"/>
              </w:rPr>
              <w:t>Cloud configuration and permission design allowed excessive access</w:t>
            </w:r>
          </w:p>
        </w:tc>
      </w:tr>
      <w:tr>
        <w:trPr>
          <w:cantSplit/>
        </w:trPr>
        <w:tc>
          <w:tcPr>
            <w:tcW w:type="dxa" w:w="2015"/>
            <w:vAlign w:val="top"/>
          </w:tcPr>
          <w:p>
            <w:pPr>
              <w:spacing w:after="40"/>
            </w:pPr>
            <w:r>
              <w:rPr>
                <w:rFonts w:ascii="Aptos" w:hAnsi="Aptos"/>
                <w:color w:val="10243E"/>
                <w:sz w:val="16"/>
              </w:rPr>
              <w:t>Impact</w:t>
            </w:r>
          </w:p>
        </w:tc>
        <w:tc>
          <w:tcPr>
            <w:tcW w:type="dxa" w:w="7920"/>
            <w:vAlign w:val="top"/>
          </w:tcPr>
          <w:p>
            <w:pPr>
              <w:spacing w:after="40"/>
            </w:pPr>
            <w:r>
              <w:rPr>
                <w:rFonts w:ascii="Aptos" w:hAnsi="Aptos"/>
                <w:color w:val="10243E"/>
                <w:sz w:val="16"/>
              </w:rPr>
              <w:t>Data from millions of credit applications was accessed</w:t>
            </w:r>
          </w:p>
        </w:tc>
      </w:tr>
      <w:tr>
        <w:trPr>
          <w:cantSplit/>
        </w:trPr>
        <w:tc>
          <w:tcPr>
            <w:tcW w:type="dxa" w:w="2015"/>
            <w:vAlign w:val="top"/>
          </w:tcPr>
          <w:p>
            <w:pPr>
              <w:spacing w:after="40"/>
            </w:pPr>
            <w:r>
              <w:rPr>
                <w:rFonts w:ascii="Aptos" w:hAnsi="Aptos"/>
                <w:color w:val="10243E"/>
                <w:sz w:val="16"/>
              </w:rPr>
              <w:t>Defender signals</w:t>
            </w:r>
          </w:p>
        </w:tc>
        <w:tc>
          <w:tcPr>
            <w:tcW w:type="dxa" w:w="7920"/>
            <w:vAlign w:val="top"/>
          </w:tcPr>
          <w:p>
            <w:pPr>
              <w:spacing w:after="40"/>
            </w:pPr>
            <w:r>
              <w:rPr>
                <w:rFonts w:ascii="Aptos" w:hAnsi="Aptos"/>
                <w:color w:val="10243E"/>
                <w:sz w:val="16"/>
              </w:rPr>
              <w:t>Unexpected cloud API activity, unusual data access and exploitation of an internet-facing control</w:t>
            </w:r>
          </w:p>
        </w:tc>
      </w:tr>
      <w:tr>
        <w:trPr>
          <w:cantSplit/>
        </w:trPr>
        <w:tc>
          <w:tcPr>
            <w:tcW w:type="dxa" w:w="2015"/>
            <w:vAlign w:val="top"/>
          </w:tcPr>
          <w:p>
            <w:pPr>
              <w:spacing w:after="40"/>
            </w:pPr>
            <w:r>
              <w:rPr>
                <w:rFonts w:ascii="Aptos" w:hAnsi="Aptos"/>
                <w:color w:val="10243E"/>
                <w:sz w:val="16"/>
              </w:rPr>
              <w:t>Controls</w:t>
            </w:r>
          </w:p>
        </w:tc>
        <w:tc>
          <w:tcPr>
            <w:tcW w:type="dxa" w:w="7920"/>
            <w:vAlign w:val="top"/>
          </w:tcPr>
          <w:p>
            <w:pPr>
              <w:spacing w:after="40"/>
            </w:pPr>
            <w:r>
              <w:rPr>
                <w:rFonts w:ascii="Aptos" w:hAnsi="Aptos"/>
                <w:color w:val="10243E"/>
                <w:sz w:val="16"/>
              </w:rPr>
              <w:t>Least-privilege cloud roles, configuration assurance, logging, anomaly detection and rapid credential revocation</w:t>
            </w:r>
          </w:p>
        </w:tc>
      </w:tr>
      <w:tr>
        <w:trPr>
          <w:cantSplit/>
        </w:trPr>
        <w:tc>
          <w:tcPr>
            <w:tcW w:type="dxa" w:w="2015"/>
            <w:vAlign w:val="top"/>
          </w:tcPr>
          <w:p>
            <w:pPr>
              <w:spacing w:after="40"/>
            </w:pPr>
            <w:r>
              <w:rPr>
                <w:rFonts w:ascii="Aptos" w:hAnsi="Aptos"/>
                <w:color w:val="10243E"/>
                <w:sz w:val="16"/>
              </w:rPr>
              <w:t>Transferable lesson</w:t>
            </w:r>
          </w:p>
        </w:tc>
        <w:tc>
          <w:tcPr>
            <w:tcW w:type="dxa" w:w="7920"/>
            <w:vAlign w:val="top"/>
          </w:tcPr>
          <w:p>
            <w:pPr>
              <w:spacing w:after="40"/>
            </w:pPr>
            <w:r>
              <w:rPr>
                <w:rFonts w:ascii="Aptos" w:hAnsi="Aptos"/>
                <w:color w:val="10243E"/>
                <w:sz w:val="16"/>
              </w:rPr>
              <w:t>Cloud services inherit the organisation's configuration decisions; provider security does not remove customer responsibility.</w:t>
            </w:r>
          </w:p>
        </w:tc>
      </w:tr>
    </w:tbl>
    <w:p>
      <w:pPr>
        <w:spacing w:before="80" w:after="120"/>
      </w:pPr>
      <w:r>
        <w:rPr>
          <w:b/>
          <w:color w:val="5F6B7A"/>
          <w:sz w:val="16"/>
        </w:rPr>
        <w:t xml:space="preserve">Source: </w:t>
      </w:r>
      <w:hyperlink r:id="rId26">
        <w:r>
          <w:rPr>
            <w:color w:val="176B87"/>
            <w:u w:val="single"/>
          </w:rPr>
          <w:t>U.S. Department of Justice — Seattle Tech Worker Arrested for Data Theft</w:t>
        </w:r>
      </w:hyperlink>
    </w:p>
    <w:p>
      <w:pPr>
        <w:pStyle w:val="Heading3"/>
      </w:pPr>
      <w:r>
        <w:t>Class discussion</w:t>
      </w:r>
    </w:p>
    <w:p>
      <w:pPr>
        <w:pStyle w:val="ListBullet"/>
      </w:pPr>
      <w:r>
        <w:t>Triage: Which part of this signal set would you trust first, and why — Unexpected cloud API activity, unusual data access and exploitation of an internet-facing control?</w:t>
      </w:r>
    </w:p>
    <w:p>
      <w:pPr>
        <w:pStyle w:val="ListBullet"/>
      </w:pPr>
      <w:r>
        <w:t>Decision: Which immediate action limits the stated impact without destroying evidence — Data from millions of credit applications was accessed?</w:t>
      </w:r>
    </w:p>
    <w:p>
      <w:pPr>
        <w:pStyle w:val="ListBullet"/>
      </w:pPr>
      <w:r>
        <w:t>Control: Which one control from this set should be verified first — Least-privilege cloud roles, configuration assurance, logging, anomaly detection and rapid credential revocation?</w:t>
      </w:r>
    </w:p>
    <w:p>
      <w:pPr>
        <w:pStyle w:val="ListBullet"/>
      </w:pPr>
      <w:r>
        <w:t>Transfer: Where could the same entry path exist in a personal account, supplier relationship or small business today?</w:t>
      </w:r>
    </w:p>
    <w:p>
      <w:pPr>
        <w:pStyle w:val="Callout"/>
      </w:pPr>
      <w:r>
        <w:t>Brief-back standard: state the situation, confirmed evidence, likely impact, immediate safe action, uncertainty and the decision or authority required.</w:t>
      </w:r>
    </w:p>
    <w:p>
      <w:pPr>
        <w:pStyle w:val="Heading2"/>
      </w:pPr>
      <w:r>
        <w:t>Case 14: Norsk Hydro LockerGoga ransomware (Norway and global operations, 2019)</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15"/>
            <w:shd w:fill="0B2545"/>
            <w:vAlign w:val="center"/>
          </w:tcPr>
          <w:p>
            <w:r>
              <w:rPr>
                <w:b/>
                <w:color w:val="FFFFFF"/>
                <w:sz w:val="16"/>
              </w:rPr>
              <w:t>Lens</w:t>
            </w:r>
          </w:p>
        </w:tc>
        <w:tc>
          <w:tcPr>
            <w:tcW w:type="dxa" w:w="7920"/>
            <w:shd w:fill="0B2545"/>
            <w:vAlign w:val="center"/>
          </w:tcPr>
          <w:p>
            <w:r>
              <w:rPr>
                <w:b/>
                <w:color w:val="FFFFFF"/>
                <w:sz w:val="16"/>
              </w:rPr>
              <w:t>Analysis</w:t>
            </w:r>
          </w:p>
        </w:tc>
      </w:tr>
      <w:tr>
        <w:trPr>
          <w:cantSplit/>
        </w:trPr>
        <w:tc>
          <w:tcPr>
            <w:tcW w:type="dxa" w:w="2015"/>
            <w:vAlign w:val="top"/>
          </w:tcPr>
          <w:p>
            <w:pPr>
              <w:spacing w:after="40"/>
            </w:pPr>
            <w:r>
              <w:rPr>
                <w:rFonts w:ascii="Aptos" w:hAnsi="Aptos"/>
                <w:color w:val="10243E"/>
                <w:sz w:val="16"/>
              </w:rPr>
              <w:t>Entry path</w:t>
            </w:r>
          </w:p>
        </w:tc>
        <w:tc>
          <w:tcPr>
            <w:tcW w:type="dxa" w:w="7920"/>
            <w:vAlign w:val="top"/>
          </w:tcPr>
          <w:p>
            <w:pPr>
              <w:spacing w:after="40"/>
            </w:pPr>
            <w:r>
              <w:rPr>
                <w:rFonts w:ascii="Aptos" w:hAnsi="Aptos"/>
                <w:color w:val="10243E"/>
                <w:sz w:val="16"/>
              </w:rPr>
              <w:t>Ransomware disrupted corporate and operational workstations</w:t>
            </w:r>
          </w:p>
        </w:tc>
      </w:tr>
      <w:tr>
        <w:trPr>
          <w:cantSplit/>
        </w:trPr>
        <w:tc>
          <w:tcPr>
            <w:tcW w:type="dxa" w:w="2015"/>
            <w:vAlign w:val="top"/>
          </w:tcPr>
          <w:p>
            <w:pPr>
              <w:spacing w:after="40"/>
            </w:pPr>
            <w:r>
              <w:rPr>
                <w:rFonts w:ascii="Aptos" w:hAnsi="Aptos"/>
                <w:color w:val="10243E"/>
                <w:sz w:val="16"/>
              </w:rPr>
              <w:t>Exploited weakness</w:t>
            </w:r>
          </w:p>
        </w:tc>
        <w:tc>
          <w:tcPr>
            <w:tcW w:type="dxa" w:w="7920"/>
            <w:vAlign w:val="top"/>
          </w:tcPr>
          <w:p>
            <w:pPr>
              <w:spacing w:after="40"/>
            </w:pPr>
            <w:r>
              <w:rPr>
                <w:rFonts w:ascii="Aptos" w:hAnsi="Aptos"/>
                <w:color w:val="10243E"/>
                <w:sz w:val="16"/>
              </w:rPr>
              <w:t>Enterprise connectivity allowed IT disruption to affect industrial operations</w:t>
            </w:r>
          </w:p>
        </w:tc>
      </w:tr>
      <w:tr>
        <w:trPr>
          <w:cantSplit/>
        </w:trPr>
        <w:tc>
          <w:tcPr>
            <w:tcW w:type="dxa" w:w="2015"/>
            <w:vAlign w:val="top"/>
          </w:tcPr>
          <w:p>
            <w:pPr>
              <w:spacing w:after="40"/>
            </w:pPr>
            <w:r>
              <w:rPr>
                <w:rFonts w:ascii="Aptos" w:hAnsi="Aptos"/>
                <w:color w:val="10243E"/>
                <w:sz w:val="16"/>
              </w:rPr>
              <w:t>Impact</w:t>
            </w:r>
          </w:p>
        </w:tc>
        <w:tc>
          <w:tcPr>
            <w:tcW w:type="dxa" w:w="7920"/>
            <w:vAlign w:val="top"/>
          </w:tcPr>
          <w:p>
            <w:pPr>
              <w:spacing w:after="40"/>
            </w:pPr>
            <w:r>
              <w:rPr>
                <w:rFonts w:ascii="Aptos" w:hAnsi="Aptos"/>
                <w:color w:val="10243E"/>
                <w:sz w:val="16"/>
              </w:rPr>
              <w:t>Plants shifted to manual workarounds while systems were rebuilt and restored</w:t>
            </w:r>
          </w:p>
        </w:tc>
      </w:tr>
      <w:tr>
        <w:trPr>
          <w:cantSplit/>
        </w:trPr>
        <w:tc>
          <w:tcPr>
            <w:tcW w:type="dxa" w:w="2015"/>
            <w:vAlign w:val="top"/>
          </w:tcPr>
          <w:p>
            <w:pPr>
              <w:spacing w:after="40"/>
            </w:pPr>
            <w:r>
              <w:rPr>
                <w:rFonts w:ascii="Aptos" w:hAnsi="Aptos"/>
                <w:color w:val="10243E"/>
                <w:sz w:val="16"/>
              </w:rPr>
              <w:t>Defender signals</w:t>
            </w:r>
          </w:p>
        </w:tc>
        <w:tc>
          <w:tcPr>
            <w:tcW w:type="dxa" w:w="7920"/>
            <w:vAlign w:val="top"/>
          </w:tcPr>
          <w:p>
            <w:pPr>
              <w:spacing w:after="40"/>
            </w:pPr>
            <w:r>
              <w:rPr>
                <w:rFonts w:ascii="Aptos" w:hAnsi="Aptos"/>
                <w:color w:val="10243E"/>
                <w:sz w:val="16"/>
              </w:rPr>
              <w:t>Unavailable workstations, encryption activity and loss of normal production-support systems</w:t>
            </w:r>
          </w:p>
        </w:tc>
      </w:tr>
      <w:tr>
        <w:trPr>
          <w:cantSplit/>
        </w:trPr>
        <w:tc>
          <w:tcPr>
            <w:tcW w:type="dxa" w:w="2015"/>
            <w:vAlign w:val="top"/>
          </w:tcPr>
          <w:p>
            <w:pPr>
              <w:spacing w:after="40"/>
            </w:pPr>
            <w:r>
              <w:rPr>
                <w:rFonts w:ascii="Aptos" w:hAnsi="Aptos"/>
                <w:color w:val="10243E"/>
                <w:sz w:val="16"/>
              </w:rPr>
              <w:t>Controls</w:t>
            </w:r>
          </w:p>
        </w:tc>
        <w:tc>
          <w:tcPr>
            <w:tcW w:type="dxa" w:w="7920"/>
            <w:vAlign w:val="top"/>
          </w:tcPr>
          <w:p>
            <w:pPr>
              <w:spacing w:after="40"/>
            </w:pPr>
            <w:r>
              <w:rPr>
                <w:rFonts w:ascii="Aptos" w:hAnsi="Aptos"/>
                <w:color w:val="10243E"/>
                <w:sz w:val="16"/>
              </w:rPr>
              <w:t>IT/OT segmentation, rehearsed manual operations, clean rebuild capability, transparent communications and tested backups</w:t>
            </w:r>
          </w:p>
        </w:tc>
      </w:tr>
      <w:tr>
        <w:trPr>
          <w:cantSplit/>
        </w:trPr>
        <w:tc>
          <w:tcPr>
            <w:tcW w:type="dxa" w:w="2015"/>
            <w:vAlign w:val="top"/>
          </w:tcPr>
          <w:p>
            <w:pPr>
              <w:spacing w:after="40"/>
            </w:pPr>
            <w:r>
              <w:rPr>
                <w:rFonts w:ascii="Aptos" w:hAnsi="Aptos"/>
                <w:color w:val="10243E"/>
                <w:sz w:val="16"/>
              </w:rPr>
              <w:t>Transferable lesson</w:t>
            </w:r>
          </w:p>
        </w:tc>
        <w:tc>
          <w:tcPr>
            <w:tcW w:type="dxa" w:w="7920"/>
            <w:vAlign w:val="top"/>
          </w:tcPr>
          <w:p>
            <w:pPr>
              <w:spacing w:after="40"/>
            </w:pPr>
            <w:r>
              <w:rPr>
                <w:rFonts w:ascii="Aptos" w:hAnsi="Aptos"/>
                <w:color w:val="10243E"/>
                <w:sz w:val="16"/>
              </w:rPr>
              <w:t>Operational resilience includes safe manual workarounds, not only technical restoration.</w:t>
            </w:r>
          </w:p>
        </w:tc>
      </w:tr>
    </w:tbl>
    <w:p>
      <w:pPr>
        <w:spacing w:before="80" w:after="120"/>
      </w:pPr>
      <w:r>
        <w:rPr>
          <w:b/>
          <w:color w:val="5F6B7A"/>
          <w:sz w:val="16"/>
        </w:rPr>
        <w:t xml:space="preserve">Source: </w:t>
      </w:r>
      <w:hyperlink r:id="rId27">
        <w:r>
          <w:rPr>
            <w:color w:val="176B87"/>
            <w:u w:val="single"/>
          </w:rPr>
          <w:t>UK National Cyber Security Centre — What Is OT Malware?</w:t>
        </w:r>
      </w:hyperlink>
    </w:p>
    <w:p>
      <w:pPr>
        <w:pStyle w:val="Heading3"/>
      </w:pPr>
      <w:r>
        <w:t>Class discussion</w:t>
      </w:r>
    </w:p>
    <w:p>
      <w:pPr>
        <w:pStyle w:val="ListBullet"/>
      </w:pPr>
      <w:r>
        <w:t>Triage: Which part of this signal set would you trust first, and why — Unavailable workstations, encryption activity and loss of normal production-support systems?</w:t>
      </w:r>
    </w:p>
    <w:p>
      <w:pPr>
        <w:pStyle w:val="ListBullet"/>
      </w:pPr>
      <w:r>
        <w:t>Decision: Which immediate action limits the stated impact without destroying evidence — Plants shifted to manual workarounds while systems were rebuilt and restored?</w:t>
      </w:r>
    </w:p>
    <w:p>
      <w:pPr>
        <w:pStyle w:val="ListBullet"/>
      </w:pPr>
      <w:r>
        <w:t>Control: Which one control from this set should be verified first — IT/OT segmentation, rehearsed manual operations, clean rebuild capability, transparent communications and tested backups?</w:t>
      </w:r>
    </w:p>
    <w:p>
      <w:pPr>
        <w:pStyle w:val="ListBullet"/>
      </w:pPr>
      <w:r>
        <w:t>Transfer: Where could the same entry path exist in a personal account, supplier relationship or small business today?</w:t>
      </w:r>
    </w:p>
    <w:p>
      <w:pPr>
        <w:pStyle w:val="Callout"/>
      </w:pPr>
      <w:r>
        <w:t>Brief-back standard: state the situation, confirmed evidence, likely impact, immediate safe action, uncertainty and the decision or authority required.</w:t>
      </w:r>
    </w:p>
    <w:p>
      <w:pPr>
        <w:pStyle w:val="Heading2"/>
      </w:pPr>
      <w:r>
        <w:t>Case 15: Change Healthcare cyberattack (United States healthcare, 2024)</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15"/>
            <w:shd w:fill="0B2545"/>
            <w:vAlign w:val="center"/>
          </w:tcPr>
          <w:p>
            <w:r>
              <w:rPr>
                <w:b/>
                <w:color w:val="FFFFFF"/>
                <w:sz w:val="16"/>
              </w:rPr>
              <w:t>Lens</w:t>
            </w:r>
          </w:p>
        </w:tc>
        <w:tc>
          <w:tcPr>
            <w:tcW w:type="dxa" w:w="7920"/>
            <w:shd w:fill="0B2545"/>
            <w:vAlign w:val="center"/>
          </w:tcPr>
          <w:p>
            <w:r>
              <w:rPr>
                <w:b/>
                <w:color w:val="FFFFFF"/>
                <w:sz w:val="16"/>
              </w:rPr>
              <w:t>Analysis</w:t>
            </w:r>
          </w:p>
        </w:tc>
      </w:tr>
      <w:tr>
        <w:trPr>
          <w:cantSplit/>
        </w:trPr>
        <w:tc>
          <w:tcPr>
            <w:tcW w:type="dxa" w:w="2015"/>
            <w:vAlign w:val="top"/>
          </w:tcPr>
          <w:p>
            <w:pPr>
              <w:spacing w:after="40"/>
            </w:pPr>
            <w:r>
              <w:rPr>
                <w:rFonts w:ascii="Aptos" w:hAnsi="Aptos"/>
                <w:color w:val="10243E"/>
                <w:sz w:val="16"/>
              </w:rPr>
              <w:t>Entry path</w:t>
            </w:r>
          </w:p>
        </w:tc>
        <w:tc>
          <w:tcPr>
            <w:tcW w:type="dxa" w:w="7920"/>
            <w:vAlign w:val="top"/>
          </w:tcPr>
          <w:p>
            <w:pPr>
              <w:spacing w:after="40"/>
            </w:pPr>
            <w:r>
              <w:rPr>
                <w:rFonts w:ascii="Aptos" w:hAnsi="Aptos"/>
                <w:color w:val="10243E"/>
                <w:sz w:val="16"/>
              </w:rPr>
              <w:t>Threat actor access led the organisation to isolate connected transaction systems</w:t>
            </w:r>
          </w:p>
        </w:tc>
      </w:tr>
      <w:tr>
        <w:trPr>
          <w:cantSplit/>
        </w:trPr>
        <w:tc>
          <w:tcPr>
            <w:tcW w:type="dxa" w:w="2015"/>
            <w:vAlign w:val="top"/>
          </w:tcPr>
          <w:p>
            <w:pPr>
              <w:spacing w:after="40"/>
            </w:pPr>
            <w:r>
              <w:rPr>
                <w:rFonts w:ascii="Aptos" w:hAnsi="Aptos"/>
                <w:color w:val="10243E"/>
                <w:sz w:val="16"/>
              </w:rPr>
              <w:t>Exploited weakness</w:t>
            </w:r>
          </w:p>
        </w:tc>
        <w:tc>
          <w:tcPr>
            <w:tcW w:type="dxa" w:w="7920"/>
            <w:vAlign w:val="top"/>
          </w:tcPr>
          <w:p>
            <w:pPr>
              <w:spacing w:after="40"/>
            </w:pPr>
            <w:r>
              <w:rPr>
                <w:rFonts w:ascii="Aptos" w:hAnsi="Aptos"/>
                <w:color w:val="10243E"/>
                <w:sz w:val="16"/>
              </w:rPr>
              <w:t>Sector-wide dependence on a concentrated claims and payment intermediary</w:t>
            </w:r>
          </w:p>
        </w:tc>
      </w:tr>
      <w:tr>
        <w:trPr>
          <w:cantSplit/>
        </w:trPr>
        <w:tc>
          <w:tcPr>
            <w:tcW w:type="dxa" w:w="2015"/>
            <w:vAlign w:val="top"/>
          </w:tcPr>
          <w:p>
            <w:pPr>
              <w:spacing w:after="40"/>
            </w:pPr>
            <w:r>
              <w:rPr>
                <w:rFonts w:ascii="Aptos" w:hAnsi="Aptos"/>
                <w:color w:val="10243E"/>
                <w:sz w:val="16"/>
              </w:rPr>
              <w:t>Impact</w:t>
            </w:r>
          </w:p>
        </w:tc>
        <w:tc>
          <w:tcPr>
            <w:tcW w:type="dxa" w:w="7920"/>
            <w:vAlign w:val="top"/>
          </w:tcPr>
          <w:p>
            <w:pPr>
              <w:spacing w:after="40"/>
            </w:pPr>
            <w:r>
              <w:rPr>
                <w:rFonts w:ascii="Aptos" w:hAnsi="Aptos"/>
                <w:color w:val="10243E"/>
                <w:sz w:val="16"/>
              </w:rPr>
              <w:t>Electronic claims, payments and pharmacy transactions were disrupted across healthcare providers</w:t>
            </w:r>
          </w:p>
        </w:tc>
      </w:tr>
      <w:tr>
        <w:trPr>
          <w:cantSplit/>
        </w:trPr>
        <w:tc>
          <w:tcPr>
            <w:tcW w:type="dxa" w:w="2015"/>
            <w:vAlign w:val="top"/>
          </w:tcPr>
          <w:p>
            <w:pPr>
              <w:spacing w:after="40"/>
            </w:pPr>
            <w:r>
              <w:rPr>
                <w:rFonts w:ascii="Aptos" w:hAnsi="Aptos"/>
                <w:color w:val="10243E"/>
                <w:sz w:val="16"/>
              </w:rPr>
              <w:t>Defender signals</w:t>
            </w:r>
          </w:p>
        </w:tc>
        <w:tc>
          <w:tcPr>
            <w:tcW w:type="dxa" w:w="7920"/>
            <w:vAlign w:val="top"/>
          </w:tcPr>
          <w:p>
            <w:pPr>
              <w:spacing w:after="40"/>
            </w:pPr>
            <w:r>
              <w:rPr>
                <w:rFonts w:ascii="Aptos" w:hAnsi="Aptos"/>
                <w:color w:val="10243E"/>
                <w:sz w:val="16"/>
              </w:rPr>
              <w:t>Service interruption across connected customers and loss of access to transactional networks</w:t>
            </w:r>
          </w:p>
        </w:tc>
      </w:tr>
      <w:tr>
        <w:trPr>
          <w:cantSplit/>
        </w:trPr>
        <w:tc>
          <w:tcPr>
            <w:tcW w:type="dxa" w:w="2015"/>
            <w:vAlign w:val="top"/>
          </w:tcPr>
          <w:p>
            <w:pPr>
              <w:spacing w:after="40"/>
            </w:pPr>
            <w:r>
              <w:rPr>
                <w:rFonts w:ascii="Aptos" w:hAnsi="Aptos"/>
                <w:color w:val="10243E"/>
                <w:sz w:val="16"/>
              </w:rPr>
              <w:t>Controls</w:t>
            </w:r>
          </w:p>
        </w:tc>
        <w:tc>
          <w:tcPr>
            <w:tcW w:type="dxa" w:w="7920"/>
            <w:vAlign w:val="top"/>
          </w:tcPr>
          <w:p>
            <w:pPr>
              <w:spacing w:after="40"/>
            </w:pPr>
            <w:r>
              <w:rPr>
                <w:rFonts w:ascii="Aptos" w:hAnsi="Aptos"/>
                <w:color w:val="10243E"/>
                <w:sz w:val="16"/>
              </w:rPr>
              <w:t>Strong remote-access identity, supplier concentration analysis, alternate clearing routes, isolation plans and recovery communications</w:t>
            </w:r>
          </w:p>
        </w:tc>
      </w:tr>
      <w:tr>
        <w:trPr>
          <w:cantSplit/>
        </w:trPr>
        <w:tc>
          <w:tcPr>
            <w:tcW w:type="dxa" w:w="2015"/>
            <w:vAlign w:val="top"/>
          </w:tcPr>
          <w:p>
            <w:pPr>
              <w:spacing w:after="40"/>
            </w:pPr>
            <w:r>
              <w:rPr>
                <w:rFonts w:ascii="Aptos" w:hAnsi="Aptos"/>
                <w:color w:val="10243E"/>
                <w:sz w:val="16"/>
              </w:rPr>
              <w:t>Transferable lesson</w:t>
            </w:r>
          </w:p>
        </w:tc>
        <w:tc>
          <w:tcPr>
            <w:tcW w:type="dxa" w:w="7920"/>
            <w:vAlign w:val="top"/>
          </w:tcPr>
          <w:p>
            <w:pPr>
              <w:spacing w:after="40"/>
            </w:pPr>
            <w:r>
              <w:rPr>
                <w:rFonts w:ascii="Aptos" w:hAnsi="Aptos"/>
                <w:color w:val="10243E"/>
                <w:sz w:val="16"/>
              </w:rPr>
              <w:t>A cyber incident at one digital intermediary can become a cash-flow and patient-service crisis across an ecosystem.</w:t>
            </w:r>
          </w:p>
        </w:tc>
      </w:tr>
    </w:tbl>
    <w:p>
      <w:pPr>
        <w:spacing w:before="80" w:after="120"/>
      </w:pPr>
      <w:r>
        <w:rPr>
          <w:b/>
          <w:color w:val="5F6B7A"/>
          <w:sz w:val="16"/>
        </w:rPr>
        <w:t xml:space="preserve">Source: </w:t>
      </w:r>
      <w:hyperlink r:id="rId28">
        <w:r>
          <w:rPr>
            <w:color w:val="176B87"/>
            <w:u w:val="single"/>
          </w:rPr>
          <w:t>U.S. Securities and Exchange Commission — UnitedHealth Group Form 8-K, 21 February 2024</w:t>
        </w:r>
      </w:hyperlink>
    </w:p>
    <w:p>
      <w:pPr>
        <w:pStyle w:val="Heading3"/>
      </w:pPr>
      <w:r>
        <w:t>Class discussion</w:t>
      </w:r>
    </w:p>
    <w:p>
      <w:pPr>
        <w:pStyle w:val="ListBullet"/>
      </w:pPr>
      <w:r>
        <w:t>Triage: Which part of this signal set would you trust first, and why — Service interruption across connected customers and loss of access to transactional networks?</w:t>
      </w:r>
    </w:p>
    <w:p>
      <w:pPr>
        <w:pStyle w:val="ListBullet"/>
      </w:pPr>
      <w:r>
        <w:t>Decision: Which immediate action limits the stated impact without destroying evidence — Electronic claims, payments and pharmacy transactions were disrupted across healthcare providers?</w:t>
      </w:r>
    </w:p>
    <w:p>
      <w:pPr>
        <w:pStyle w:val="ListBullet"/>
      </w:pPr>
      <w:r>
        <w:t>Control: Which one control from this set should be verified first — Strong remote-access identity, supplier concentration analysis, alternate clearing routes, isolation plans and recovery communications?</w:t>
      </w:r>
    </w:p>
    <w:p>
      <w:pPr>
        <w:pStyle w:val="ListBullet"/>
      </w:pPr>
      <w:r>
        <w:t>Transfer: Where could the same entry path exist in a personal account, supplier relationship or small business today?</w:t>
      </w:r>
    </w:p>
    <w:p>
      <w:pPr>
        <w:pStyle w:val="Callout"/>
      </w:pPr>
      <w:r>
        <w:t>Brief-back standard: state the situation, confirmed evidence, likely impact, immediate safe action, uncertainty and the decision or authority required.</w:t>
      </w:r>
    </w:p>
    <w:p>
      <w:pPr>
        <w:pStyle w:val="Heading1"/>
      </w:pPr>
      <w:r>
        <w:t>Topic 2 — Protect personal information</w:t>
      </w:r>
    </w:p>
    <w:p>
      <w:r>
        <w:t>Personal safeguards work as a system. Strong authentication cannot rescue an unsupported device indefinitely; a patched device cannot prevent a fraudulent payment if the process accepts unverified changes. Layer identity, device, data, network, people and recovery controls.</w:t>
      </w:r>
    </w:p>
    <w:p>
      <w:pPr>
        <w:pStyle w:val="Heading2"/>
      </w:pPr>
      <w:r>
        <w:t>Identity and authentication</w:t>
      </w:r>
    </w:p>
    <w:p>
      <w:pPr>
        <w:pStyle w:val="ListBullet"/>
      </w:pPr>
      <w:r>
        <w:t>Use a unique long passphrase for every service and store it in a reputable password manager.</w:t>
      </w:r>
    </w:p>
    <w:p>
      <w:pPr>
        <w:pStyle w:val="ListBullet"/>
      </w:pPr>
      <w:r>
        <w:t>Use MFA; prefer phishing-resistant passkeys or hardware security keys for high-value accounts.</w:t>
      </w:r>
    </w:p>
    <w:p>
      <w:pPr>
        <w:pStyle w:val="ListBullet"/>
      </w:pPr>
      <w:r>
        <w:t>Do not approve unexpected MFA prompts. Review active sessions, recovery methods and connected applications.</w:t>
      </w:r>
    </w:p>
    <w:p>
      <w:pPr>
        <w:pStyle w:val="ListBullet"/>
      </w:pPr>
      <w:r>
        <w:t>Change credentials when compromise is suspected or confirmed; routine forced changes can encourage predictable passwords.</w:t>
      </w:r>
    </w:p>
    <w:p>
      <w:pPr>
        <w:pStyle w:val="ListBullet"/>
      </w:pPr>
      <w:r>
        <w:t>Disable dormant accounts and remove access that is no longer needed.</w:t>
      </w:r>
    </w:p>
    <w:p>
      <w:pPr>
        <w:pStyle w:val="Heading2"/>
      </w:pPr>
      <w:r>
        <w:t>Device baseline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0B2545"/>
            <w:vAlign w:val="center"/>
          </w:tcPr>
          <w:p>
            <w:r>
              <w:rPr>
                <w:b/>
                <w:color w:val="FFFFFF"/>
                <w:sz w:val="16"/>
              </w:rPr>
              <w:t>Lifecycle point</w:t>
            </w:r>
          </w:p>
        </w:tc>
        <w:tc>
          <w:tcPr>
            <w:tcW w:type="dxa" w:w="4680"/>
            <w:shd w:fill="0B2545"/>
            <w:vAlign w:val="center"/>
          </w:tcPr>
          <w:p>
            <w:r>
              <w:rPr>
                <w:b/>
                <w:color w:val="FFFFFF"/>
                <w:sz w:val="16"/>
              </w:rPr>
              <w:t>Safeguard</w:t>
            </w:r>
          </w:p>
        </w:tc>
        <w:tc>
          <w:tcPr>
            <w:tcW w:type="dxa" w:w="3671"/>
            <w:shd w:fill="0B2545"/>
            <w:vAlign w:val="center"/>
          </w:tcPr>
          <w:p>
            <w:r>
              <w:rPr>
                <w:b/>
                <w:color w:val="FFFFFF"/>
                <w:sz w:val="16"/>
              </w:rPr>
              <w:t>Verification</w:t>
            </w:r>
          </w:p>
        </w:tc>
      </w:tr>
      <w:tr>
        <w:trPr>
          <w:cantSplit/>
        </w:trPr>
        <w:tc>
          <w:tcPr>
            <w:tcW w:type="dxa" w:w="1728"/>
            <w:vAlign w:val="top"/>
          </w:tcPr>
          <w:p>
            <w:pPr>
              <w:spacing w:after="40"/>
            </w:pPr>
            <w:r>
              <w:rPr>
                <w:rFonts w:ascii="Aptos" w:hAnsi="Aptos"/>
                <w:color w:val="10243E"/>
                <w:sz w:val="16"/>
              </w:rPr>
              <w:t>Acquire</w:t>
            </w:r>
          </w:p>
        </w:tc>
        <w:tc>
          <w:tcPr>
            <w:tcW w:type="dxa" w:w="4680"/>
            <w:vAlign w:val="top"/>
          </w:tcPr>
          <w:p>
            <w:pPr>
              <w:spacing w:after="40"/>
            </w:pPr>
            <w:r>
              <w:rPr>
                <w:rFonts w:ascii="Aptos" w:hAnsi="Aptos"/>
                <w:color w:val="10243E"/>
                <w:sz w:val="16"/>
              </w:rPr>
              <w:t>Supported hardware and trusted software source</w:t>
            </w:r>
          </w:p>
        </w:tc>
        <w:tc>
          <w:tcPr>
            <w:tcW w:type="dxa" w:w="3671"/>
            <w:vAlign w:val="top"/>
          </w:tcPr>
          <w:p>
            <w:pPr>
              <w:spacing w:after="40"/>
            </w:pPr>
            <w:r>
              <w:rPr>
                <w:rFonts w:ascii="Aptos" w:hAnsi="Aptos"/>
                <w:color w:val="10243E"/>
                <w:sz w:val="16"/>
              </w:rPr>
              <w:t>Confirm vendor support date and authentic installer.</w:t>
            </w:r>
          </w:p>
        </w:tc>
      </w:tr>
      <w:tr>
        <w:trPr>
          <w:cantSplit/>
        </w:trPr>
        <w:tc>
          <w:tcPr>
            <w:tcW w:type="dxa" w:w="1728"/>
            <w:vAlign w:val="top"/>
          </w:tcPr>
          <w:p>
            <w:pPr>
              <w:spacing w:after="40"/>
            </w:pPr>
            <w:r>
              <w:rPr>
                <w:rFonts w:ascii="Aptos" w:hAnsi="Aptos"/>
                <w:color w:val="10243E"/>
                <w:sz w:val="16"/>
              </w:rPr>
              <w:t>Configure</w:t>
            </w:r>
          </w:p>
        </w:tc>
        <w:tc>
          <w:tcPr>
            <w:tcW w:type="dxa" w:w="4680"/>
            <w:vAlign w:val="top"/>
          </w:tcPr>
          <w:p>
            <w:pPr>
              <w:spacing w:after="40"/>
            </w:pPr>
            <w:r>
              <w:rPr>
                <w:rFonts w:ascii="Aptos" w:hAnsi="Aptos"/>
                <w:color w:val="10243E"/>
                <w:sz w:val="16"/>
              </w:rPr>
              <w:t>Encryption, standard user, screen lock, least permissions</w:t>
            </w:r>
          </w:p>
        </w:tc>
        <w:tc>
          <w:tcPr>
            <w:tcW w:type="dxa" w:w="3671"/>
            <w:vAlign w:val="top"/>
          </w:tcPr>
          <w:p>
            <w:pPr>
              <w:spacing w:after="40"/>
            </w:pPr>
            <w:r>
              <w:rPr>
                <w:rFonts w:ascii="Aptos" w:hAnsi="Aptos"/>
                <w:color w:val="10243E"/>
                <w:sz w:val="16"/>
              </w:rPr>
              <w:t>Check settings and test lock/recovery.</w:t>
            </w:r>
          </w:p>
        </w:tc>
      </w:tr>
      <w:tr>
        <w:trPr>
          <w:cantSplit/>
        </w:trPr>
        <w:tc>
          <w:tcPr>
            <w:tcW w:type="dxa" w:w="1728"/>
            <w:vAlign w:val="top"/>
          </w:tcPr>
          <w:p>
            <w:pPr>
              <w:spacing w:after="40"/>
            </w:pPr>
            <w:r>
              <w:rPr>
                <w:rFonts w:ascii="Aptos" w:hAnsi="Aptos"/>
                <w:color w:val="10243E"/>
                <w:sz w:val="16"/>
              </w:rPr>
              <w:t>Maintain</w:t>
            </w:r>
          </w:p>
        </w:tc>
        <w:tc>
          <w:tcPr>
            <w:tcW w:type="dxa" w:w="4680"/>
            <w:vAlign w:val="top"/>
          </w:tcPr>
          <w:p>
            <w:pPr>
              <w:spacing w:after="40"/>
            </w:pPr>
            <w:r>
              <w:rPr>
                <w:rFonts w:ascii="Aptos" w:hAnsi="Aptos"/>
                <w:color w:val="10243E"/>
                <w:sz w:val="16"/>
              </w:rPr>
              <w:t>Automatic OS, browser, app and firmware updates</w:t>
            </w:r>
          </w:p>
        </w:tc>
        <w:tc>
          <w:tcPr>
            <w:tcW w:type="dxa" w:w="3671"/>
            <w:vAlign w:val="top"/>
          </w:tcPr>
          <w:p>
            <w:pPr>
              <w:spacing w:after="40"/>
            </w:pPr>
            <w:r>
              <w:rPr>
                <w:rFonts w:ascii="Aptos" w:hAnsi="Aptos"/>
                <w:color w:val="10243E"/>
                <w:sz w:val="16"/>
              </w:rPr>
              <w:t>Review update status and failed installations.</w:t>
            </w:r>
          </w:p>
        </w:tc>
      </w:tr>
      <w:tr>
        <w:trPr>
          <w:cantSplit/>
        </w:trPr>
        <w:tc>
          <w:tcPr>
            <w:tcW w:type="dxa" w:w="1728"/>
            <w:vAlign w:val="top"/>
          </w:tcPr>
          <w:p>
            <w:pPr>
              <w:spacing w:after="40"/>
            </w:pPr>
            <w:r>
              <w:rPr>
                <w:rFonts w:ascii="Aptos" w:hAnsi="Aptos"/>
                <w:color w:val="10243E"/>
                <w:sz w:val="16"/>
              </w:rPr>
              <w:t>Monitor</w:t>
            </w:r>
          </w:p>
        </w:tc>
        <w:tc>
          <w:tcPr>
            <w:tcW w:type="dxa" w:w="4680"/>
            <w:vAlign w:val="top"/>
          </w:tcPr>
          <w:p>
            <w:pPr>
              <w:spacing w:after="40"/>
            </w:pPr>
            <w:r>
              <w:rPr>
                <w:rFonts w:ascii="Aptos" w:hAnsi="Aptos"/>
                <w:color w:val="10243E"/>
                <w:sz w:val="16"/>
              </w:rPr>
              <w:t>Account, endpoint and security alerts</w:t>
            </w:r>
          </w:p>
        </w:tc>
        <w:tc>
          <w:tcPr>
            <w:tcW w:type="dxa" w:w="3671"/>
            <w:vAlign w:val="top"/>
          </w:tcPr>
          <w:p>
            <w:pPr>
              <w:spacing w:after="40"/>
            </w:pPr>
            <w:r>
              <w:rPr>
                <w:rFonts w:ascii="Aptos" w:hAnsi="Aptos"/>
                <w:color w:val="10243E"/>
                <w:sz w:val="16"/>
              </w:rPr>
              <w:t>Know who receives alerts and test one notification path.</w:t>
            </w:r>
          </w:p>
        </w:tc>
      </w:tr>
      <w:tr>
        <w:trPr>
          <w:cantSplit/>
        </w:trPr>
        <w:tc>
          <w:tcPr>
            <w:tcW w:type="dxa" w:w="1728"/>
            <w:vAlign w:val="top"/>
          </w:tcPr>
          <w:p>
            <w:pPr>
              <w:spacing w:after="40"/>
            </w:pPr>
            <w:r>
              <w:rPr>
                <w:rFonts w:ascii="Aptos" w:hAnsi="Aptos"/>
                <w:color w:val="10243E"/>
                <w:sz w:val="16"/>
              </w:rPr>
              <w:t>Retire</w:t>
            </w:r>
          </w:p>
        </w:tc>
        <w:tc>
          <w:tcPr>
            <w:tcW w:type="dxa" w:w="4680"/>
            <w:vAlign w:val="top"/>
          </w:tcPr>
          <w:p>
            <w:pPr>
              <w:spacing w:after="40"/>
            </w:pPr>
            <w:r>
              <w:rPr>
                <w:rFonts w:ascii="Aptos" w:hAnsi="Aptos"/>
                <w:color w:val="10243E"/>
                <w:sz w:val="16"/>
              </w:rPr>
              <w:t>Backup, sign out, wipe and verify</w:t>
            </w:r>
          </w:p>
        </w:tc>
        <w:tc>
          <w:tcPr>
            <w:tcW w:type="dxa" w:w="3671"/>
            <w:vAlign w:val="top"/>
          </w:tcPr>
          <w:p>
            <w:pPr>
              <w:spacing w:after="40"/>
            </w:pPr>
            <w:r>
              <w:rPr>
                <w:rFonts w:ascii="Aptos" w:hAnsi="Aptos"/>
                <w:color w:val="10243E"/>
                <w:sz w:val="16"/>
              </w:rPr>
              <w:t>Confirm data cannot be recovered by normal means.</w:t>
            </w:r>
          </w:p>
        </w:tc>
      </w:tr>
    </w:tbl>
    <w:p>
      <w:pPr>
        <w:pStyle w:val="Heading2"/>
      </w:pPr>
      <w:r>
        <w:t>Backups and recovery</w:t>
      </w:r>
    </w:p>
    <w:p>
      <w:r>
        <w:t>Use the 3–2–1 pattern as a starting point: three copies, two media or locations, and one offline or immutable copy. Define what must be restored first and how much data loss is tolerable. Test a restore; a successful backup job does not prove recoverability.</w:t>
      </w:r>
    </w:p>
    <w:p>
      <w:pPr>
        <w:pStyle w:val="Heading2"/>
      </w:pPr>
      <w:r>
        <w:t>Safer online activity</w:t>
      </w:r>
    </w:p>
    <w:p>
      <w:pPr>
        <w:pStyle w:val="ListBullet"/>
      </w:pPr>
      <w:r>
        <w:t>Use bookmarks or manually entered known addresses for banking, government and business administration.</w:t>
      </w:r>
    </w:p>
    <w:p>
      <w:pPr>
        <w:pStyle w:val="ListBullet"/>
      </w:pPr>
      <w:r>
        <w:t>Treat HTTPS as connection protection, not proof that a seller or message is legitimate.</w:t>
      </w:r>
    </w:p>
    <w:p>
      <w:pPr>
        <w:pStyle w:val="ListBullet"/>
      </w:pPr>
      <w:r>
        <w:t>Use transaction alerts, limits and trusted payment channels; pause when bank details change.</w:t>
      </w:r>
    </w:p>
    <w:p>
      <w:pPr>
        <w:pStyle w:val="ListBullet"/>
      </w:pPr>
      <w:r>
        <w:t>Share the minimum personal information required and review app permissions periodically.</w:t>
      </w:r>
    </w:p>
    <w:p>
      <w:pPr>
        <w:pStyle w:val="ListBullet"/>
      </w:pPr>
      <w:r>
        <w:t>On public networks, prefer mobile data for sensitive work and avoid unexpected captive portals.</w:t>
      </w:r>
    </w:p>
    <w:p>
      <w:pPr>
        <w:pStyle w:val="Heading1"/>
      </w:pPr>
      <w:r>
        <w:t>Topic 3 — Protect business information</w:t>
      </w:r>
    </w:p>
    <w:p>
      <w:r>
        <w:t>Business cybersecurity combines technical controls with ownership, workflow design, supplier management, evidence and recovery. The objective is not to remove all risk; it is to keep risk within an authorised tolerance and respond before harm expands.</w:t>
      </w:r>
    </w:p>
    <w:p>
      <w:pPr>
        <w:pStyle w:val="Heading2"/>
      </w:pPr>
      <w:r>
        <w:t>Vulnerable areas and controls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0B2545"/>
            <w:vAlign w:val="center"/>
          </w:tcPr>
          <w:p>
            <w:r>
              <w:rPr>
                <w:b/>
                <w:color w:val="FFFFFF"/>
                <w:sz w:val="16"/>
              </w:rPr>
              <w:t>Area</w:t>
            </w:r>
          </w:p>
        </w:tc>
        <w:tc>
          <w:tcPr>
            <w:tcW w:type="dxa" w:w="4104"/>
            <w:shd w:fill="0B2545"/>
            <w:vAlign w:val="center"/>
          </w:tcPr>
          <w:p>
            <w:r>
              <w:rPr>
                <w:b/>
                <w:color w:val="FFFFFF"/>
                <w:sz w:val="16"/>
              </w:rPr>
              <w:t>Why vulnerable</w:t>
            </w:r>
          </w:p>
        </w:tc>
        <w:tc>
          <w:tcPr>
            <w:tcW w:type="dxa" w:w="3744"/>
            <w:shd w:fill="0B2545"/>
            <w:vAlign w:val="center"/>
          </w:tcPr>
          <w:p>
            <w:r>
              <w:rPr>
                <w:b/>
                <w:color w:val="FFFFFF"/>
                <w:sz w:val="16"/>
              </w:rPr>
              <w:t>Risk treatment</w:t>
            </w:r>
          </w:p>
        </w:tc>
      </w:tr>
      <w:tr>
        <w:trPr>
          <w:cantSplit/>
        </w:trPr>
        <w:tc>
          <w:tcPr>
            <w:tcW w:type="dxa" w:w="2232"/>
            <w:vAlign w:val="top"/>
          </w:tcPr>
          <w:p>
            <w:pPr>
              <w:spacing w:after="40"/>
            </w:pPr>
            <w:r>
              <w:rPr>
                <w:rFonts w:ascii="Aptos" w:hAnsi="Aptos"/>
                <w:color w:val="10243E"/>
                <w:sz w:val="16"/>
              </w:rPr>
              <w:t>Unpatched software</w:t>
            </w:r>
          </w:p>
        </w:tc>
        <w:tc>
          <w:tcPr>
            <w:tcW w:type="dxa" w:w="4104"/>
            <w:vAlign w:val="top"/>
          </w:tcPr>
          <w:p>
            <w:pPr>
              <w:spacing w:after="40"/>
            </w:pPr>
            <w:r>
              <w:rPr>
                <w:rFonts w:ascii="Aptos" w:hAnsi="Aptos"/>
                <w:color w:val="10243E"/>
                <w:sz w:val="16"/>
              </w:rPr>
              <w:t>Known flaw remains exploitable</w:t>
            </w:r>
          </w:p>
        </w:tc>
        <w:tc>
          <w:tcPr>
            <w:tcW w:type="dxa" w:w="3744"/>
            <w:vAlign w:val="top"/>
          </w:tcPr>
          <w:p>
            <w:pPr>
              <w:spacing w:after="40"/>
            </w:pPr>
            <w:r>
              <w:rPr>
                <w:rFonts w:ascii="Aptos" w:hAnsi="Aptos"/>
                <w:color w:val="10243E"/>
                <w:sz w:val="16"/>
              </w:rPr>
              <w:t>Asset inventory + risk-based patch SLA</w:t>
            </w:r>
          </w:p>
        </w:tc>
      </w:tr>
      <w:tr>
        <w:trPr>
          <w:cantSplit/>
        </w:trPr>
        <w:tc>
          <w:tcPr>
            <w:tcW w:type="dxa" w:w="2232"/>
            <w:vAlign w:val="top"/>
          </w:tcPr>
          <w:p>
            <w:pPr>
              <w:spacing w:after="40"/>
            </w:pPr>
            <w:r>
              <w:rPr>
                <w:rFonts w:ascii="Aptos" w:hAnsi="Aptos"/>
                <w:color w:val="10243E"/>
                <w:sz w:val="16"/>
              </w:rPr>
              <w:t>Weak or reused credentials</w:t>
            </w:r>
          </w:p>
        </w:tc>
        <w:tc>
          <w:tcPr>
            <w:tcW w:type="dxa" w:w="4104"/>
            <w:vAlign w:val="top"/>
          </w:tcPr>
          <w:p>
            <w:pPr>
              <w:spacing w:after="40"/>
            </w:pPr>
            <w:r>
              <w:rPr>
                <w:rFonts w:ascii="Aptos" w:hAnsi="Aptos"/>
                <w:color w:val="10243E"/>
                <w:sz w:val="16"/>
              </w:rPr>
              <w:t>One stolen secret unlocks several services</w:t>
            </w:r>
          </w:p>
        </w:tc>
        <w:tc>
          <w:tcPr>
            <w:tcW w:type="dxa" w:w="3744"/>
            <w:vAlign w:val="top"/>
          </w:tcPr>
          <w:p>
            <w:pPr>
              <w:spacing w:after="40"/>
            </w:pPr>
            <w:r>
              <w:rPr>
                <w:rFonts w:ascii="Aptos" w:hAnsi="Aptos"/>
                <w:color w:val="10243E"/>
                <w:sz w:val="16"/>
              </w:rPr>
              <w:t>Password manager + MFA/passkeys + breach response</w:t>
            </w:r>
          </w:p>
        </w:tc>
      </w:tr>
      <w:tr>
        <w:trPr>
          <w:cantSplit/>
        </w:trPr>
        <w:tc>
          <w:tcPr>
            <w:tcW w:type="dxa" w:w="2232"/>
            <w:vAlign w:val="top"/>
          </w:tcPr>
          <w:p>
            <w:pPr>
              <w:spacing w:after="40"/>
            </w:pPr>
            <w:r>
              <w:rPr>
                <w:rFonts w:ascii="Aptos" w:hAnsi="Aptos"/>
                <w:color w:val="10243E"/>
                <w:sz w:val="16"/>
              </w:rPr>
              <w:t>Excess privilege</w:t>
            </w:r>
          </w:p>
        </w:tc>
        <w:tc>
          <w:tcPr>
            <w:tcW w:type="dxa" w:w="4104"/>
            <w:vAlign w:val="top"/>
          </w:tcPr>
          <w:p>
            <w:pPr>
              <w:spacing w:after="40"/>
            </w:pPr>
            <w:r>
              <w:rPr>
                <w:rFonts w:ascii="Aptos" w:hAnsi="Aptos"/>
                <w:color w:val="10243E"/>
                <w:sz w:val="16"/>
              </w:rPr>
              <w:t>Compromise reaches more data and systems</w:t>
            </w:r>
          </w:p>
        </w:tc>
        <w:tc>
          <w:tcPr>
            <w:tcW w:type="dxa" w:w="3744"/>
            <w:vAlign w:val="top"/>
          </w:tcPr>
          <w:p>
            <w:pPr>
              <w:spacing w:after="40"/>
            </w:pPr>
            <w:r>
              <w:rPr>
                <w:rFonts w:ascii="Aptos" w:hAnsi="Aptos"/>
                <w:color w:val="10243E"/>
                <w:sz w:val="16"/>
              </w:rPr>
              <w:t>Least privilege + access reviews</w:t>
            </w:r>
          </w:p>
        </w:tc>
      </w:tr>
      <w:tr>
        <w:trPr>
          <w:cantSplit/>
        </w:trPr>
        <w:tc>
          <w:tcPr>
            <w:tcW w:type="dxa" w:w="2232"/>
            <w:vAlign w:val="top"/>
          </w:tcPr>
          <w:p>
            <w:pPr>
              <w:spacing w:after="40"/>
            </w:pPr>
            <w:r>
              <w:rPr>
                <w:rFonts w:ascii="Aptos" w:hAnsi="Aptos"/>
                <w:color w:val="10243E"/>
                <w:sz w:val="16"/>
              </w:rPr>
              <w:t>Misconfiguration</w:t>
            </w:r>
          </w:p>
        </w:tc>
        <w:tc>
          <w:tcPr>
            <w:tcW w:type="dxa" w:w="4104"/>
            <w:vAlign w:val="top"/>
          </w:tcPr>
          <w:p>
            <w:pPr>
              <w:spacing w:after="40"/>
            </w:pPr>
            <w:r>
              <w:rPr>
                <w:rFonts w:ascii="Aptos" w:hAnsi="Aptos"/>
                <w:color w:val="10243E"/>
                <w:sz w:val="16"/>
              </w:rPr>
              <w:t>Security feature exists but is unsafe</w:t>
            </w:r>
          </w:p>
        </w:tc>
        <w:tc>
          <w:tcPr>
            <w:tcW w:type="dxa" w:w="3744"/>
            <w:vAlign w:val="top"/>
          </w:tcPr>
          <w:p>
            <w:pPr>
              <w:spacing w:after="40"/>
            </w:pPr>
            <w:r>
              <w:rPr>
                <w:rFonts w:ascii="Aptos" w:hAnsi="Aptos"/>
                <w:color w:val="10243E"/>
                <w:sz w:val="16"/>
              </w:rPr>
              <w:t>Secure baseline + continuous configuration checks</w:t>
            </w:r>
          </w:p>
        </w:tc>
      </w:tr>
      <w:tr>
        <w:trPr>
          <w:cantSplit/>
        </w:trPr>
        <w:tc>
          <w:tcPr>
            <w:tcW w:type="dxa" w:w="2232"/>
            <w:vAlign w:val="top"/>
          </w:tcPr>
          <w:p>
            <w:pPr>
              <w:spacing w:after="40"/>
            </w:pPr>
            <w:r>
              <w:rPr>
                <w:rFonts w:ascii="Aptos" w:hAnsi="Aptos"/>
                <w:color w:val="10243E"/>
                <w:sz w:val="16"/>
              </w:rPr>
              <w:t>Internet exposure</w:t>
            </w:r>
          </w:p>
        </w:tc>
        <w:tc>
          <w:tcPr>
            <w:tcW w:type="dxa" w:w="4104"/>
            <w:vAlign w:val="top"/>
          </w:tcPr>
          <w:p>
            <w:pPr>
              <w:spacing w:after="40"/>
            </w:pPr>
            <w:r>
              <w:rPr>
                <w:rFonts w:ascii="Aptos" w:hAnsi="Aptos"/>
                <w:color w:val="10243E"/>
                <w:sz w:val="16"/>
              </w:rPr>
              <w:t>Attack surface is reachable by anyone</w:t>
            </w:r>
          </w:p>
        </w:tc>
        <w:tc>
          <w:tcPr>
            <w:tcW w:type="dxa" w:w="3744"/>
            <w:vAlign w:val="top"/>
          </w:tcPr>
          <w:p>
            <w:pPr>
              <w:spacing w:after="40"/>
            </w:pPr>
            <w:r>
              <w:rPr>
                <w:rFonts w:ascii="Aptos" w:hAnsi="Aptos"/>
                <w:color w:val="10243E"/>
                <w:sz w:val="16"/>
              </w:rPr>
              <w:t>Minimise services + strong authentication + monitoring</w:t>
            </w:r>
          </w:p>
        </w:tc>
      </w:tr>
      <w:tr>
        <w:trPr>
          <w:cantSplit/>
        </w:trPr>
        <w:tc>
          <w:tcPr>
            <w:tcW w:type="dxa" w:w="2232"/>
            <w:vAlign w:val="top"/>
          </w:tcPr>
          <w:p>
            <w:pPr>
              <w:spacing w:after="40"/>
            </w:pPr>
            <w:r>
              <w:rPr>
                <w:rFonts w:ascii="Aptos" w:hAnsi="Aptos"/>
                <w:color w:val="10243E"/>
                <w:sz w:val="16"/>
              </w:rPr>
              <w:t>Unsafe input handling</w:t>
            </w:r>
          </w:p>
        </w:tc>
        <w:tc>
          <w:tcPr>
            <w:tcW w:type="dxa" w:w="4104"/>
            <w:vAlign w:val="top"/>
          </w:tcPr>
          <w:p>
            <w:pPr>
              <w:spacing w:after="40"/>
            </w:pPr>
            <w:r>
              <w:rPr>
                <w:rFonts w:ascii="Aptos" w:hAnsi="Aptos"/>
                <w:color w:val="10243E"/>
                <w:sz w:val="16"/>
              </w:rPr>
              <w:t>Application trusts hostile input</w:t>
            </w:r>
          </w:p>
        </w:tc>
        <w:tc>
          <w:tcPr>
            <w:tcW w:type="dxa" w:w="3744"/>
            <w:vAlign w:val="top"/>
          </w:tcPr>
          <w:p>
            <w:pPr>
              <w:spacing w:after="40"/>
            </w:pPr>
            <w:r>
              <w:rPr>
                <w:rFonts w:ascii="Aptos" w:hAnsi="Aptos"/>
                <w:color w:val="10243E"/>
                <w:sz w:val="16"/>
              </w:rPr>
              <w:t>Validation + parameterised queries + testing</w:t>
            </w:r>
          </w:p>
        </w:tc>
      </w:tr>
      <w:tr>
        <w:trPr>
          <w:cantSplit/>
        </w:trPr>
        <w:tc>
          <w:tcPr>
            <w:tcW w:type="dxa" w:w="2232"/>
            <w:vAlign w:val="top"/>
          </w:tcPr>
          <w:p>
            <w:pPr>
              <w:spacing w:after="40"/>
            </w:pPr>
            <w:r>
              <w:rPr>
                <w:rFonts w:ascii="Aptos" w:hAnsi="Aptos"/>
                <w:color w:val="10243E"/>
                <w:sz w:val="16"/>
              </w:rPr>
              <w:t>Third-party dependency</w:t>
            </w:r>
          </w:p>
        </w:tc>
        <w:tc>
          <w:tcPr>
            <w:tcW w:type="dxa" w:w="4104"/>
            <w:vAlign w:val="top"/>
          </w:tcPr>
          <w:p>
            <w:pPr>
              <w:spacing w:after="40"/>
            </w:pPr>
            <w:r>
              <w:rPr>
                <w:rFonts w:ascii="Aptos" w:hAnsi="Aptos"/>
                <w:color w:val="10243E"/>
                <w:sz w:val="16"/>
              </w:rPr>
              <w:t>Supplier weakness becomes customer exposure</w:t>
            </w:r>
          </w:p>
        </w:tc>
        <w:tc>
          <w:tcPr>
            <w:tcW w:type="dxa" w:w="3744"/>
            <w:vAlign w:val="top"/>
          </w:tcPr>
          <w:p>
            <w:pPr>
              <w:spacing w:after="40"/>
            </w:pPr>
            <w:r>
              <w:rPr>
                <w:rFonts w:ascii="Aptos" w:hAnsi="Aptos"/>
                <w:color w:val="10243E"/>
                <w:sz w:val="16"/>
              </w:rPr>
              <w:t>Supplier inventory + contract controls + monitoring</w:t>
            </w:r>
          </w:p>
        </w:tc>
      </w:tr>
      <w:tr>
        <w:trPr>
          <w:cantSplit/>
        </w:trPr>
        <w:tc>
          <w:tcPr>
            <w:tcW w:type="dxa" w:w="2232"/>
            <w:vAlign w:val="top"/>
          </w:tcPr>
          <w:p>
            <w:pPr>
              <w:spacing w:after="40"/>
            </w:pPr>
            <w:r>
              <w:rPr>
                <w:rFonts w:ascii="Aptos" w:hAnsi="Aptos"/>
                <w:color w:val="10243E"/>
                <w:sz w:val="16"/>
              </w:rPr>
              <w:t>Human process gap</w:t>
            </w:r>
          </w:p>
        </w:tc>
        <w:tc>
          <w:tcPr>
            <w:tcW w:type="dxa" w:w="4104"/>
            <w:vAlign w:val="top"/>
          </w:tcPr>
          <w:p>
            <w:pPr>
              <w:spacing w:after="40"/>
            </w:pPr>
            <w:r>
              <w:rPr>
                <w:rFonts w:ascii="Aptos" w:hAnsi="Aptos"/>
                <w:color w:val="10243E"/>
                <w:sz w:val="16"/>
              </w:rPr>
              <w:t>Urgency or authority bypasses verification</w:t>
            </w:r>
          </w:p>
        </w:tc>
        <w:tc>
          <w:tcPr>
            <w:tcW w:type="dxa" w:w="3744"/>
            <w:vAlign w:val="top"/>
          </w:tcPr>
          <w:p>
            <w:pPr>
              <w:spacing w:after="40"/>
            </w:pPr>
            <w:r>
              <w:rPr>
                <w:rFonts w:ascii="Aptos" w:hAnsi="Aptos"/>
                <w:color w:val="10243E"/>
                <w:sz w:val="16"/>
              </w:rPr>
              <w:t>Independent verification + dual approval + rehearsal</w:t>
            </w:r>
          </w:p>
        </w:tc>
      </w:tr>
    </w:tbl>
    <w:p>
      <w:pPr>
        <w:spacing w:before="80" w:after="120"/>
      </w:pPr>
      <w:r>
        <w:rPr>
          <w:b/>
          <w:color w:val="5F6B7A"/>
          <w:sz w:val="16"/>
        </w:rPr>
        <w:t xml:space="preserve">Source: </w:t>
      </w:r>
      <w:hyperlink r:id="rId12">
        <w:r>
          <w:rPr>
            <w:color w:val="176B87"/>
            <w:u w:val="single"/>
          </w:rPr>
          <w:t>NCSC — Understanding vulnerabilities</w:t>
        </w:r>
      </w:hyperlink>
    </w:p>
    <w:p>
      <w:pPr>
        <w:pStyle w:val="Heading2"/>
      </w:pPr>
      <w:r>
        <w:t>Risk-based prioritisation</w:t>
      </w:r>
    </w:p>
    <w:p>
      <w:r>
        <w:t>Do not rank by severity alone. Combine technical severity with internet reachability, sensitive data, operational criticality, active exploitation, available safeguards and recovery options. Record the treatment owner, due date and verification method.</w:t>
      </w:r>
    </w:p>
    <w:p>
      <w:pPr>
        <w:pStyle w:val="Heading2"/>
      </w:pPr>
      <w:r>
        <w:t>Web, detection and authorised testing</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0B2545"/>
            <w:vAlign w:val="center"/>
          </w:tcPr>
          <w:p>
            <w:r>
              <w:rPr>
                <w:b/>
                <w:color w:val="FFFFFF"/>
                <w:sz w:val="16"/>
              </w:rPr>
              <w:t>Capability</w:t>
            </w:r>
          </w:p>
        </w:tc>
        <w:tc>
          <w:tcPr>
            <w:tcW w:type="dxa" w:w="3816"/>
            <w:shd w:fill="0B2545"/>
            <w:vAlign w:val="center"/>
          </w:tcPr>
          <w:p>
            <w:r>
              <w:rPr>
                <w:b/>
                <w:color w:val="FFFFFF"/>
                <w:sz w:val="16"/>
              </w:rPr>
              <w:t>Purpose</w:t>
            </w:r>
          </w:p>
        </w:tc>
        <w:tc>
          <w:tcPr>
            <w:tcW w:type="dxa" w:w="4320"/>
            <w:shd w:fill="0B2545"/>
            <w:vAlign w:val="center"/>
          </w:tcPr>
          <w:p>
            <w:r>
              <w:rPr>
                <w:b/>
                <w:color w:val="FFFFFF"/>
                <w:sz w:val="16"/>
              </w:rPr>
              <w:t>Key governance point</w:t>
            </w:r>
          </w:p>
        </w:tc>
      </w:tr>
      <w:tr>
        <w:trPr>
          <w:cantSplit/>
        </w:trPr>
        <w:tc>
          <w:tcPr>
            <w:tcW w:type="dxa" w:w="1944"/>
            <w:vAlign w:val="top"/>
          </w:tcPr>
          <w:p>
            <w:pPr>
              <w:spacing w:after="40"/>
            </w:pPr>
            <w:r>
              <w:rPr>
                <w:rFonts w:ascii="Aptos" w:hAnsi="Aptos"/>
                <w:color w:val="10243E"/>
                <w:sz w:val="16"/>
              </w:rPr>
              <w:t>Secure development</w:t>
            </w:r>
          </w:p>
        </w:tc>
        <w:tc>
          <w:tcPr>
            <w:tcW w:type="dxa" w:w="3816"/>
            <w:vAlign w:val="top"/>
          </w:tcPr>
          <w:p>
            <w:pPr>
              <w:spacing w:after="40"/>
            </w:pPr>
            <w:r>
              <w:rPr>
                <w:rFonts w:ascii="Aptos" w:hAnsi="Aptos"/>
                <w:color w:val="10243E"/>
                <w:sz w:val="16"/>
              </w:rPr>
              <w:t>Prevent injection, access-control and configuration failures</w:t>
            </w:r>
          </w:p>
        </w:tc>
        <w:tc>
          <w:tcPr>
            <w:tcW w:type="dxa" w:w="4320"/>
            <w:vAlign w:val="top"/>
          </w:tcPr>
          <w:p>
            <w:pPr>
              <w:spacing w:after="40"/>
            </w:pPr>
            <w:r>
              <w:rPr>
                <w:rFonts w:ascii="Aptos" w:hAnsi="Aptos"/>
                <w:color w:val="10243E"/>
                <w:sz w:val="16"/>
              </w:rPr>
              <w:t>Validate on the server; use parameterised queries; test before release.</w:t>
            </w:r>
          </w:p>
        </w:tc>
      </w:tr>
      <w:tr>
        <w:trPr>
          <w:cantSplit/>
        </w:trPr>
        <w:tc>
          <w:tcPr>
            <w:tcW w:type="dxa" w:w="1944"/>
            <w:vAlign w:val="top"/>
          </w:tcPr>
          <w:p>
            <w:pPr>
              <w:spacing w:after="40"/>
            </w:pPr>
            <w:r>
              <w:rPr>
                <w:rFonts w:ascii="Aptos" w:hAnsi="Aptos"/>
                <w:color w:val="10243E"/>
                <w:sz w:val="16"/>
              </w:rPr>
              <w:t>IDS / IPS</w:t>
            </w:r>
          </w:p>
        </w:tc>
        <w:tc>
          <w:tcPr>
            <w:tcW w:type="dxa" w:w="3816"/>
            <w:vAlign w:val="top"/>
          </w:tcPr>
          <w:p>
            <w:pPr>
              <w:spacing w:after="40"/>
            </w:pPr>
            <w:r>
              <w:rPr>
                <w:rFonts w:ascii="Aptos" w:hAnsi="Aptos"/>
                <w:color w:val="10243E"/>
                <w:sz w:val="16"/>
              </w:rPr>
              <w:t>Detect or block suspicious network patterns</w:t>
            </w:r>
          </w:p>
        </w:tc>
        <w:tc>
          <w:tcPr>
            <w:tcW w:type="dxa" w:w="4320"/>
            <w:vAlign w:val="top"/>
          </w:tcPr>
          <w:p>
            <w:pPr>
              <w:spacing w:after="40"/>
            </w:pPr>
            <w:r>
              <w:rPr>
                <w:rFonts w:ascii="Aptos" w:hAnsi="Aptos"/>
                <w:color w:val="10243E"/>
                <w:sz w:val="16"/>
              </w:rPr>
              <w:t>Rules need context, ownership, tuning and safe automated actions.</w:t>
            </w:r>
          </w:p>
        </w:tc>
      </w:tr>
      <w:tr>
        <w:trPr>
          <w:cantSplit/>
        </w:trPr>
        <w:tc>
          <w:tcPr>
            <w:tcW w:type="dxa" w:w="1944"/>
            <w:vAlign w:val="top"/>
          </w:tcPr>
          <w:p>
            <w:pPr>
              <w:spacing w:after="40"/>
            </w:pPr>
            <w:r>
              <w:rPr>
                <w:rFonts w:ascii="Aptos" w:hAnsi="Aptos"/>
                <w:color w:val="10243E"/>
                <w:sz w:val="16"/>
              </w:rPr>
              <w:t>Endpoint detection</w:t>
            </w:r>
          </w:p>
        </w:tc>
        <w:tc>
          <w:tcPr>
            <w:tcW w:type="dxa" w:w="3816"/>
            <w:vAlign w:val="top"/>
          </w:tcPr>
          <w:p>
            <w:pPr>
              <w:spacing w:after="40"/>
            </w:pPr>
            <w:r>
              <w:rPr>
                <w:rFonts w:ascii="Aptos" w:hAnsi="Aptos"/>
                <w:color w:val="10243E"/>
                <w:sz w:val="16"/>
              </w:rPr>
              <w:t>Connect process, identity, file and network behaviour</w:t>
            </w:r>
          </w:p>
        </w:tc>
        <w:tc>
          <w:tcPr>
            <w:tcW w:type="dxa" w:w="4320"/>
            <w:vAlign w:val="top"/>
          </w:tcPr>
          <w:p>
            <w:pPr>
              <w:spacing w:after="40"/>
            </w:pPr>
            <w:r>
              <w:rPr>
                <w:rFonts w:ascii="Aptos" w:hAnsi="Aptos"/>
                <w:color w:val="10243E"/>
                <w:sz w:val="16"/>
              </w:rPr>
              <w:t>Preserve evidence and define containment authority.</w:t>
            </w:r>
          </w:p>
        </w:tc>
      </w:tr>
      <w:tr>
        <w:trPr>
          <w:cantSplit/>
        </w:trPr>
        <w:tc>
          <w:tcPr>
            <w:tcW w:type="dxa" w:w="1944"/>
            <w:vAlign w:val="top"/>
          </w:tcPr>
          <w:p>
            <w:pPr>
              <w:spacing w:after="40"/>
            </w:pPr>
            <w:r>
              <w:rPr>
                <w:rFonts w:ascii="Aptos" w:hAnsi="Aptos"/>
                <w:color w:val="10243E"/>
                <w:sz w:val="16"/>
              </w:rPr>
              <w:t>Honeypot</w:t>
            </w:r>
          </w:p>
        </w:tc>
        <w:tc>
          <w:tcPr>
            <w:tcW w:type="dxa" w:w="3816"/>
            <w:vAlign w:val="top"/>
          </w:tcPr>
          <w:p>
            <w:pPr>
              <w:spacing w:after="40"/>
            </w:pPr>
            <w:r>
              <w:rPr>
                <w:rFonts w:ascii="Aptos" w:hAnsi="Aptos"/>
                <w:color w:val="10243E"/>
                <w:sz w:val="16"/>
              </w:rPr>
              <w:t>Reveal activity that has no legitimate reason to occur</w:t>
            </w:r>
          </w:p>
        </w:tc>
        <w:tc>
          <w:tcPr>
            <w:tcW w:type="dxa" w:w="4320"/>
            <w:vAlign w:val="top"/>
          </w:tcPr>
          <w:p>
            <w:pPr>
              <w:spacing w:after="40"/>
            </w:pPr>
            <w:r>
              <w:rPr>
                <w:rFonts w:ascii="Aptos" w:hAnsi="Aptos"/>
                <w:color w:val="10243E"/>
                <w:sz w:val="16"/>
              </w:rPr>
              <w:t>Isolate carefully; do not treat it as a replacement for controls.</w:t>
            </w:r>
          </w:p>
        </w:tc>
      </w:tr>
      <w:tr>
        <w:trPr>
          <w:cantSplit/>
        </w:trPr>
        <w:tc>
          <w:tcPr>
            <w:tcW w:type="dxa" w:w="1944"/>
            <w:vAlign w:val="top"/>
          </w:tcPr>
          <w:p>
            <w:pPr>
              <w:spacing w:after="40"/>
            </w:pPr>
            <w:r>
              <w:rPr>
                <w:rFonts w:ascii="Aptos" w:hAnsi="Aptos"/>
                <w:color w:val="10243E"/>
                <w:sz w:val="16"/>
              </w:rPr>
              <w:t>Penetration test</w:t>
            </w:r>
          </w:p>
        </w:tc>
        <w:tc>
          <w:tcPr>
            <w:tcW w:type="dxa" w:w="3816"/>
            <w:vAlign w:val="top"/>
          </w:tcPr>
          <w:p>
            <w:pPr>
              <w:spacing w:after="40"/>
            </w:pPr>
            <w:r>
              <w:rPr>
                <w:rFonts w:ascii="Aptos" w:hAnsi="Aptos"/>
                <w:color w:val="10243E"/>
                <w:sz w:val="16"/>
              </w:rPr>
              <w:t>Authorised validation of exploitable weakness</w:t>
            </w:r>
          </w:p>
        </w:tc>
        <w:tc>
          <w:tcPr>
            <w:tcW w:type="dxa" w:w="4320"/>
            <w:vAlign w:val="top"/>
          </w:tcPr>
          <w:p>
            <w:pPr>
              <w:spacing w:after="40"/>
            </w:pPr>
            <w:r>
              <w:rPr>
                <w:rFonts w:ascii="Aptos" w:hAnsi="Aptos"/>
                <w:color w:val="10243E"/>
                <w:sz w:val="16"/>
              </w:rPr>
              <w:t>Written scope, rules, stop conditions, evidence handling and remediation.</w:t>
            </w:r>
          </w:p>
        </w:tc>
      </w:tr>
    </w:tbl>
    <w:p>
      <w:pPr>
        <w:spacing w:before="80" w:after="120"/>
      </w:pPr>
      <w:r>
        <w:rPr>
          <w:b/>
          <w:color w:val="5F6B7A"/>
          <w:sz w:val="16"/>
        </w:rPr>
        <w:t xml:space="preserve">Source: </w:t>
      </w:r>
      <w:hyperlink r:id="rId29">
        <w:r>
          <w:rPr>
            <w:color w:val="176B87"/>
            <w:u w:val="single"/>
          </w:rPr>
          <w:t>OWASP — SQL injection</w:t>
        </w:r>
      </w:hyperlink>
    </w:p>
    <w:p>
      <w:pPr>
        <w:pStyle w:val="Heading2"/>
      </w:pPr>
      <w:r>
        <w:t>Incident escalation</w:t>
      </w:r>
    </w:p>
    <w:p>
      <w:r>
        <w:t>Escalate immediately when safety, essential services, sensitive data, privileged identities, money movement, active spread or high-impact uncertainty is involved. A strong handover states situation, evidence, business impact, actions taken, uncertainty and the decision or support required.</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72"/>
            <w:shd w:fill="0B2545"/>
            <w:vAlign w:val="center"/>
          </w:tcPr>
          <w:p>
            <w:r>
              <w:rPr>
                <w:b/>
                <w:color w:val="FFFFFF"/>
                <w:sz w:val="17"/>
              </w:rPr>
              <w:t>Field</w:t>
            </w:r>
          </w:p>
        </w:tc>
        <w:tc>
          <w:tcPr>
            <w:tcW w:type="dxa" w:w="8208"/>
            <w:shd w:fill="0B2545"/>
            <w:vAlign w:val="center"/>
          </w:tcPr>
          <w:p>
            <w:r>
              <w:rPr>
                <w:b/>
                <w:color w:val="FFFFFF"/>
                <w:sz w:val="17"/>
              </w:rPr>
              <w:t>Question</w:t>
            </w:r>
          </w:p>
        </w:tc>
      </w:tr>
      <w:tr>
        <w:trPr>
          <w:cantSplit/>
        </w:trPr>
        <w:tc>
          <w:tcPr>
            <w:tcW w:type="dxa" w:w="1872"/>
            <w:vAlign w:val="top"/>
          </w:tcPr>
          <w:p>
            <w:pPr>
              <w:spacing w:after="40"/>
            </w:pPr>
            <w:r>
              <w:rPr>
                <w:rFonts w:ascii="Aptos" w:hAnsi="Aptos"/>
                <w:color w:val="10243E"/>
                <w:sz w:val="17"/>
              </w:rPr>
              <w:t>Situation</w:t>
            </w:r>
          </w:p>
        </w:tc>
        <w:tc>
          <w:tcPr>
            <w:tcW w:type="dxa" w:w="8208"/>
            <w:vAlign w:val="top"/>
          </w:tcPr>
          <w:p>
            <w:pPr>
              <w:spacing w:after="40"/>
            </w:pPr>
            <w:r>
              <w:rPr>
                <w:rFonts w:ascii="Aptos" w:hAnsi="Aptos"/>
                <w:color w:val="10243E"/>
                <w:sz w:val="17"/>
              </w:rPr>
              <w:t>What is happening now and when was it first observed?</w:t>
            </w:r>
          </w:p>
        </w:tc>
      </w:tr>
      <w:tr>
        <w:trPr>
          <w:cantSplit/>
        </w:trPr>
        <w:tc>
          <w:tcPr>
            <w:tcW w:type="dxa" w:w="1872"/>
            <w:vAlign w:val="top"/>
          </w:tcPr>
          <w:p>
            <w:pPr>
              <w:spacing w:after="40"/>
            </w:pPr>
            <w:r>
              <w:rPr>
                <w:rFonts w:ascii="Aptos" w:hAnsi="Aptos"/>
                <w:color w:val="10243E"/>
                <w:sz w:val="17"/>
              </w:rPr>
              <w:t>Evidence</w:t>
            </w:r>
          </w:p>
        </w:tc>
        <w:tc>
          <w:tcPr>
            <w:tcW w:type="dxa" w:w="8208"/>
            <w:vAlign w:val="top"/>
          </w:tcPr>
          <w:p>
            <w:pPr>
              <w:spacing w:after="40"/>
            </w:pPr>
            <w:r>
              <w:rPr>
                <w:rFonts w:ascii="Aptos" w:hAnsi="Aptos"/>
                <w:color w:val="10243E"/>
                <w:sz w:val="17"/>
              </w:rPr>
              <w:t>What facts, indicators and records support the concern?</w:t>
            </w:r>
          </w:p>
        </w:tc>
      </w:tr>
      <w:tr>
        <w:trPr>
          <w:cantSplit/>
        </w:trPr>
        <w:tc>
          <w:tcPr>
            <w:tcW w:type="dxa" w:w="1872"/>
            <w:vAlign w:val="top"/>
          </w:tcPr>
          <w:p>
            <w:pPr>
              <w:spacing w:after="40"/>
            </w:pPr>
            <w:r>
              <w:rPr>
                <w:rFonts w:ascii="Aptos" w:hAnsi="Aptos"/>
                <w:color w:val="10243E"/>
                <w:sz w:val="17"/>
              </w:rPr>
              <w:t>Impact</w:t>
            </w:r>
          </w:p>
        </w:tc>
        <w:tc>
          <w:tcPr>
            <w:tcW w:type="dxa" w:w="8208"/>
            <w:vAlign w:val="top"/>
          </w:tcPr>
          <w:p>
            <w:pPr>
              <w:spacing w:after="40"/>
            </w:pPr>
            <w:r>
              <w:rPr>
                <w:rFonts w:ascii="Aptos" w:hAnsi="Aptos"/>
                <w:color w:val="10243E"/>
                <w:sz w:val="17"/>
              </w:rPr>
              <w:t>Which people, data, services, money or obligations are affected?</w:t>
            </w:r>
          </w:p>
        </w:tc>
      </w:tr>
      <w:tr>
        <w:trPr>
          <w:cantSplit/>
        </w:trPr>
        <w:tc>
          <w:tcPr>
            <w:tcW w:type="dxa" w:w="1872"/>
            <w:vAlign w:val="top"/>
          </w:tcPr>
          <w:p>
            <w:pPr>
              <w:spacing w:after="40"/>
            </w:pPr>
            <w:r>
              <w:rPr>
                <w:rFonts w:ascii="Aptos" w:hAnsi="Aptos"/>
                <w:color w:val="10243E"/>
                <w:sz w:val="17"/>
              </w:rPr>
              <w:t>Action</w:t>
            </w:r>
          </w:p>
        </w:tc>
        <w:tc>
          <w:tcPr>
            <w:tcW w:type="dxa" w:w="8208"/>
            <w:vAlign w:val="top"/>
          </w:tcPr>
          <w:p>
            <w:pPr>
              <w:spacing w:after="40"/>
            </w:pPr>
            <w:r>
              <w:rPr>
                <w:rFonts w:ascii="Aptos" w:hAnsi="Aptos"/>
                <w:color w:val="10243E"/>
                <w:sz w:val="17"/>
              </w:rPr>
              <w:t>What safe containment or evidence-preservation steps have been taken?</w:t>
            </w:r>
          </w:p>
        </w:tc>
      </w:tr>
      <w:tr>
        <w:trPr>
          <w:cantSplit/>
        </w:trPr>
        <w:tc>
          <w:tcPr>
            <w:tcW w:type="dxa" w:w="1872"/>
            <w:vAlign w:val="top"/>
          </w:tcPr>
          <w:p>
            <w:pPr>
              <w:spacing w:after="40"/>
            </w:pPr>
            <w:r>
              <w:rPr>
                <w:rFonts w:ascii="Aptos" w:hAnsi="Aptos"/>
                <w:color w:val="10243E"/>
                <w:sz w:val="17"/>
              </w:rPr>
              <w:t>Decision</w:t>
            </w:r>
          </w:p>
        </w:tc>
        <w:tc>
          <w:tcPr>
            <w:tcW w:type="dxa" w:w="8208"/>
            <w:vAlign w:val="top"/>
          </w:tcPr>
          <w:p>
            <w:pPr>
              <w:spacing w:after="40"/>
            </w:pPr>
            <w:r>
              <w:rPr>
                <w:rFonts w:ascii="Aptos" w:hAnsi="Aptos"/>
                <w:color w:val="10243E"/>
                <w:sz w:val="17"/>
              </w:rPr>
              <w:t>What authority, resource, external contact or communication is required?</w:t>
            </w:r>
          </w:p>
        </w:tc>
      </w:tr>
      <w:tr>
        <w:trPr>
          <w:cantSplit/>
        </w:trPr>
        <w:tc>
          <w:tcPr>
            <w:tcW w:type="dxa" w:w="1872"/>
            <w:vAlign w:val="top"/>
          </w:tcPr>
          <w:p>
            <w:pPr>
              <w:spacing w:after="40"/>
            </w:pPr>
            <w:r>
              <w:rPr>
                <w:rFonts w:ascii="Aptos" w:hAnsi="Aptos"/>
                <w:color w:val="10243E"/>
                <w:sz w:val="17"/>
              </w:rPr>
              <w:t>Uncertainty</w:t>
            </w:r>
          </w:p>
        </w:tc>
        <w:tc>
          <w:tcPr>
            <w:tcW w:type="dxa" w:w="8208"/>
            <w:vAlign w:val="top"/>
          </w:tcPr>
          <w:p>
            <w:pPr>
              <w:spacing w:after="40"/>
            </w:pPr>
            <w:r>
              <w:rPr>
                <w:rFonts w:ascii="Aptos" w:hAnsi="Aptos"/>
                <w:color w:val="10243E"/>
                <w:sz w:val="17"/>
              </w:rPr>
              <w:t>Which statements are inference and what would confirm them?</w:t>
            </w:r>
          </w:p>
        </w:tc>
      </w:tr>
    </w:tbl>
    <w:p>
      <w:pPr>
        <w:pStyle w:val="Heading1"/>
      </w:pPr>
      <w:r>
        <w:t>Hands-on labs</w:t>
      </w:r>
    </w:p>
    <w:p>
      <w:r>
        <w:t>The following lab procedures are reproduced from the same single-source definitions used to create each lab folder. Submit only synthetic evidence. Detailed step sequences intentionally appear here and in the lab packs, not in the presentation.</w:t>
      </w:r>
    </w:p>
    <w:p>
      <w:pPr>
        <w:pStyle w:val="Heading2"/>
      </w:pPr>
      <w:r>
        <w:t>Lab-01: Threat Triage with the Cybersecurity Simulator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0B2545"/>
            <w:vAlign w:val="center"/>
          </w:tcPr>
          <w:p>
            <w:r>
              <w:rPr>
                <w:b/>
                <w:color w:val="FFFFFF"/>
                <w:sz w:val="16"/>
              </w:rPr>
              <w:t>Field</w:t>
            </w:r>
          </w:p>
        </w:tc>
        <w:tc>
          <w:tcPr>
            <w:tcW w:type="dxa" w:w="8280"/>
            <w:shd w:fill="0B2545"/>
            <w:vAlign w:val="center"/>
          </w:tcPr>
          <w:p>
            <w:r>
              <w:rPr>
                <w:b/>
                <w:color w:val="FFFFFF"/>
                <w:sz w:val="16"/>
              </w:rPr>
              <w:t>Detail</w:t>
            </w:r>
          </w:p>
        </w:tc>
      </w:tr>
      <w:tr>
        <w:trPr>
          <w:cantSplit/>
        </w:trPr>
        <w:tc>
          <w:tcPr>
            <w:tcW w:type="dxa" w:w="1800"/>
            <w:vAlign w:val="top"/>
          </w:tcPr>
          <w:p>
            <w:pPr>
              <w:spacing w:after="40"/>
            </w:pPr>
            <w:r>
              <w:rPr>
                <w:rFonts w:ascii="Aptos" w:hAnsi="Aptos"/>
                <w:color w:val="10243E"/>
                <w:sz w:val="16"/>
              </w:rPr>
              <w:t>Time</w:t>
            </w:r>
          </w:p>
        </w:tc>
        <w:tc>
          <w:tcPr>
            <w:tcW w:type="dxa" w:w="8280"/>
            <w:vAlign w:val="top"/>
          </w:tcPr>
          <w:p>
            <w:pPr>
              <w:spacing w:after="40"/>
            </w:pPr>
            <w:r>
              <w:rPr>
                <w:rFonts w:ascii="Aptos" w:hAnsi="Aptos"/>
                <w:color w:val="10243E"/>
                <w:sz w:val="16"/>
              </w:rPr>
              <w:t>25 minutes</w:t>
            </w:r>
          </w:p>
        </w:tc>
      </w:tr>
      <w:tr>
        <w:trPr>
          <w:cantSplit/>
        </w:trPr>
        <w:tc>
          <w:tcPr>
            <w:tcW w:type="dxa" w:w="1800"/>
            <w:vAlign w:val="top"/>
          </w:tcPr>
          <w:p>
            <w:pPr>
              <w:spacing w:after="40"/>
            </w:pPr>
            <w:r>
              <w:rPr>
                <w:rFonts w:ascii="Aptos" w:hAnsi="Aptos"/>
                <w:color w:val="10243E"/>
                <w:sz w:val="16"/>
              </w:rPr>
              <w:t>Alignment</w:t>
            </w:r>
          </w:p>
        </w:tc>
        <w:tc>
          <w:tcPr>
            <w:tcW w:type="dxa" w:w="8280"/>
            <w:vAlign w:val="top"/>
          </w:tcPr>
          <w:p>
            <w:pPr>
              <w:spacing w:after="40"/>
            </w:pPr>
            <w:r>
              <w:rPr>
                <w:rFonts w:ascii="Aptos" w:hAnsi="Aptos"/>
                <w:color w:val="10243E"/>
                <w:sz w:val="16"/>
              </w:rPr>
              <w:t>LO1</w:t>
            </w:r>
          </w:p>
        </w:tc>
      </w:tr>
      <w:tr>
        <w:trPr>
          <w:cantSplit/>
        </w:trPr>
        <w:tc>
          <w:tcPr>
            <w:tcW w:type="dxa" w:w="1800"/>
            <w:vAlign w:val="top"/>
          </w:tcPr>
          <w:p>
            <w:pPr>
              <w:spacing w:after="40"/>
            </w:pPr>
            <w:r>
              <w:rPr>
                <w:rFonts w:ascii="Aptos" w:hAnsi="Aptos"/>
                <w:color w:val="10243E"/>
                <w:sz w:val="16"/>
              </w:rPr>
              <w:t>Tool</w:t>
            </w:r>
          </w:p>
        </w:tc>
        <w:tc>
          <w:tcPr>
            <w:tcW w:type="dxa" w:w="8280"/>
            <w:vAlign w:val="top"/>
          </w:tcPr>
          <w:p>
            <w:pPr>
              <w:spacing w:after="40"/>
            </w:pPr>
            <w:r>
              <w:rPr>
                <w:rFonts w:ascii="Aptos" w:hAnsi="Aptos"/>
                <w:color w:val="10243E"/>
                <w:sz w:val="16"/>
              </w:rPr>
              <w:t>Cybersecurity Simulator</w:t>
            </w:r>
          </w:p>
        </w:tc>
      </w:tr>
      <w:tr>
        <w:trPr>
          <w:cantSplit/>
        </w:trPr>
        <w:tc>
          <w:tcPr>
            <w:tcW w:type="dxa" w:w="1800"/>
            <w:vAlign w:val="top"/>
          </w:tcPr>
          <w:p>
            <w:pPr>
              <w:spacing w:after="40"/>
            </w:pPr>
            <w:r>
              <w:rPr>
                <w:rFonts w:ascii="Aptos" w:hAnsi="Aptos"/>
                <w:color w:val="10243E"/>
                <w:sz w:val="16"/>
              </w:rPr>
              <w:t>Scenario</w:t>
            </w:r>
          </w:p>
        </w:tc>
        <w:tc>
          <w:tcPr>
            <w:tcW w:type="dxa" w:w="8280"/>
            <w:vAlign w:val="top"/>
          </w:tcPr>
          <w:p>
            <w:pPr>
              <w:spacing w:after="40"/>
            </w:pPr>
            <w:r>
              <w:rPr>
                <w:rFonts w:ascii="Aptos" w:hAnsi="Aptos"/>
                <w:color w:val="10243E"/>
                <w:sz w:val="16"/>
              </w:rPr>
              <w:t>A small Singapore design agency receives five mixed security alerts. Decide what is benign, suspicious or urgent.</w:t>
            </w:r>
          </w:p>
        </w:tc>
      </w:tr>
      <w:tr>
        <w:trPr>
          <w:cantSplit/>
        </w:trPr>
        <w:tc>
          <w:tcPr>
            <w:tcW w:type="dxa" w:w="1800"/>
            <w:vAlign w:val="top"/>
          </w:tcPr>
          <w:p>
            <w:pPr>
              <w:spacing w:after="40"/>
            </w:pPr>
            <w:r>
              <w:rPr>
                <w:rFonts w:ascii="Aptos" w:hAnsi="Aptos"/>
                <w:color w:val="10243E"/>
                <w:sz w:val="16"/>
              </w:rPr>
              <w:t>Mock data</w:t>
            </w:r>
          </w:p>
        </w:tc>
        <w:tc>
          <w:tcPr>
            <w:tcW w:type="dxa" w:w="8280"/>
            <w:vAlign w:val="top"/>
          </w:tcPr>
          <w:p>
            <w:pPr>
              <w:spacing w:after="40"/>
            </w:pPr>
            <w:r>
              <w:rPr>
                <w:rFonts w:ascii="Aptos" w:hAnsi="Aptos"/>
                <w:color w:val="10243E"/>
                <w:sz w:val="16"/>
              </w:rPr>
              <w:t>mock-threat-events.csv</w:t>
            </w:r>
          </w:p>
        </w:tc>
      </w:tr>
      <w:tr>
        <w:trPr>
          <w:cantSplit/>
        </w:trPr>
        <w:tc>
          <w:tcPr>
            <w:tcW w:type="dxa" w:w="1800"/>
            <w:vAlign w:val="top"/>
          </w:tcPr>
          <w:p>
            <w:pPr>
              <w:spacing w:after="40"/>
            </w:pPr>
            <w:r>
              <w:rPr>
                <w:rFonts w:ascii="Aptos" w:hAnsi="Aptos"/>
                <w:color w:val="10243E"/>
                <w:sz w:val="16"/>
              </w:rPr>
              <w:t>Safety</w:t>
            </w:r>
          </w:p>
        </w:tc>
        <w:tc>
          <w:tcPr>
            <w:tcW w:type="dxa" w:w="8280"/>
            <w:vAlign w:val="top"/>
          </w:tcPr>
          <w:p>
            <w:pPr>
              <w:spacing w:after="40"/>
            </w:pPr>
            <w:r>
              <w:rPr>
                <w:rFonts w:ascii="Aptos" w:hAnsi="Aptos"/>
                <w:color w:val="10243E"/>
                <w:sz w:val="16"/>
              </w:rPr>
              <w:t>Use only the supplied mock data and the named training environment. Stop if the target or scope differs.</w:t>
            </w:r>
          </w:p>
        </w:tc>
      </w:tr>
    </w:tbl>
    <w:p>
      <w:r>
        <w:rPr>
          <w:b/>
        </w:rPr>
        <w:t xml:space="preserve">Open tool: </w:t>
      </w:r>
      <w:hyperlink r:id="rId30">
        <w:r>
          <w:rPr>
            <w:color w:val="176B87"/>
            <w:u w:val="single"/>
          </w:rPr>
          <w:t>https://alfredang.github.io/cybersecuritysimulator/</w:t>
        </w:r>
      </w:hyperlink>
    </w:p>
    <w:p>
      <w:pPr>
        <w:pStyle w:val="Heading3"/>
      </w:pPr>
      <w:r>
        <w:t>Procedure</w:t>
      </w:r>
    </w:p>
    <w:p>
      <w:pPr>
        <w:pStyle w:val="ListNumber"/>
        <w:numPr>
          <w:ilvl w:val="0"/>
          <w:numId w:val="10"/>
        </w:numPr>
      </w:pPr>
      <w:r>
        <w:t>Open mock-threat-events.csv and read all five events before classifying any one event.</w:t>
      </w:r>
    </w:p>
    <w:p>
      <w:pPr>
        <w:pStyle w:val="ListNumber"/>
        <w:numPr>
          <w:ilvl w:val="0"/>
          <w:numId w:val="10"/>
        </w:numPr>
      </w:pPr>
      <w:r>
        <w:t>Open the Cybersecurity Simulator and select the closest scenario for each event.</w:t>
      </w:r>
    </w:p>
    <w:p>
      <w:pPr>
        <w:pStyle w:val="ListNumber"/>
        <w:numPr>
          <w:ilvl w:val="0"/>
          <w:numId w:val="10"/>
        </w:numPr>
      </w:pPr>
      <w:r>
        <w:t>For every event, record the asset, threat actor or mechanism, observable signal and potential business impact.</w:t>
      </w:r>
    </w:p>
    <w:p>
      <w:pPr>
        <w:pStyle w:val="ListNumber"/>
        <w:numPr>
          <w:ilvl w:val="0"/>
          <w:numId w:val="10"/>
        </w:numPr>
      </w:pPr>
      <w:r>
        <w:t>Assign a severity from 1 to 5 using likelihood and impact; explain one uncertainty in your score.</w:t>
      </w:r>
    </w:p>
    <w:p>
      <w:pPr>
        <w:pStyle w:val="ListNumber"/>
        <w:numPr>
          <w:ilvl w:val="0"/>
          <w:numId w:val="10"/>
        </w:numPr>
      </w:pPr>
      <w:r>
        <w:t>Choose the first safe action: observe, contain, verify with the user, isolate the device, or escalate.</w:t>
      </w:r>
    </w:p>
    <w:p>
      <w:pPr>
        <w:pStyle w:val="ListNumber"/>
        <w:numPr>
          <w:ilvl w:val="0"/>
          <w:numId w:val="10"/>
        </w:numPr>
      </w:pPr>
      <w:r>
        <w:t>Capture one screenshot of your highest-risk decision and export your completed triage table.</w:t>
      </w:r>
    </w:p>
    <w:p>
      <w:pPr>
        <w:pStyle w:val="Heading3"/>
      </w:pPr>
      <w:r>
        <w:t>Evidence and acceptance criteria</w:t>
      </w:r>
    </w:p>
    <w:p>
      <w:pPr>
        <w:pStyle w:val="ListBullet"/>
      </w:pPr>
      <w:r>
        <w:t>Completed triage table — complete, legible, based only on mock data, and traceable to the decision made.</w:t>
      </w:r>
    </w:p>
    <w:p>
      <w:pPr>
        <w:pStyle w:val="ListBullet"/>
      </w:pPr>
      <w:r>
        <w:t>Severity rationale — complete, legible, based only on mock data, and traceable to the decision made.</w:t>
      </w:r>
    </w:p>
    <w:p>
      <w:pPr>
        <w:pStyle w:val="ListBullet"/>
      </w:pPr>
      <w:r>
        <w:t>Screenshot of highest-risk decision — complete, legible, based only on mock data, and traceable to the decision made.</w:t>
      </w:r>
    </w:p>
    <w:p>
      <w:pPr>
        <w:pStyle w:val="ListBullet"/>
      </w:pPr>
      <w:r>
        <w:t>One escalation statement — complete, legible, based only on mock data, and traceable to the decision made.</w:t>
      </w:r>
    </w:p>
    <w:p>
      <w:pPr>
        <w:pStyle w:val="Callout"/>
      </w:pPr>
      <w:r>
        <w:t>Reflection: What evidence would make you reverse your decision, and who would need to know?</w:t>
      </w:r>
    </w:p>
    <w:p>
      <w:pPr>
        <w:pStyle w:val="Heading2"/>
      </w:pPr>
      <w:r>
        <w:t>Lab-02: Detect Phishing and Business Email Compromise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0B2545"/>
            <w:vAlign w:val="center"/>
          </w:tcPr>
          <w:p>
            <w:r>
              <w:rPr>
                <w:b/>
                <w:color w:val="FFFFFF"/>
                <w:sz w:val="16"/>
              </w:rPr>
              <w:t>Field</w:t>
            </w:r>
          </w:p>
        </w:tc>
        <w:tc>
          <w:tcPr>
            <w:tcW w:type="dxa" w:w="8280"/>
            <w:shd w:fill="0B2545"/>
            <w:vAlign w:val="center"/>
          </w:tcPr>
          <w:p>
            <w:r>
              <w:rPr>
                <w:b/>
                <w:color w:val="FFFFFF"/>
                <w:sz w:val="16"/>
              </w:rPr>
              <w:t>Detail</w:t>
            </w:r>
          </w:p>
        </w:tc>
      </w:tr>
      <w:tr>
        <w:trPr>
          <w:cantSplit/>
        </w:trPr>
        <w:tc>
          <w:tcPr>
            <w:tcW w:type="dxa" w:w="1800"/>
            <w:vAlign w:val="top"/>
          </w:tcPr>
          <w:p>
            <w:pPr>
              <w:spacing w:after="40"/>
            </w:pPr>
            <w:r>
              <w:rPr>
                <w:rFonts w:ascii="Aptos" w:hAnsi="Aptos"/>
                <w:color w:val="10243E"/>
                <w:sz w:val="16"/>
              </w:rPr>
              <w:t>Time</w:t>
            </w:r>
          </w:p>
        </w:tc>
        <w:tc>
          <w:tcPr>
            <w:tcW w:type="dxa" w:w="8280"/>
            <w:vAlign w:val="top"/>
          </w:tcPr>
          <w:p>
            <w:pPr>
              <w:spacing w:after="40"/>
            </w:pPr>
            <w:r>
              <w:rPr>
                <w:rFonts w:ascii="Aptos" w:hAnsi="Aptos"/>
                <w:color w:val="10243E"/>
                <w:sz w:val="16"/>
              </w:rPr>
              <w:t>35 minutes</w:t>
            </w:r>
          </w:p>
        </w:tc>
      </w:tr>
      <w:tr>
        <w:trPr>
          <w:cantSplit/>
        </w:trPr>
        <w:tc>
          <w:tcPr>
            <w:tcW w:type="dxa" w:w="1800"/>
            <w:vAlign w:val="top"/>
          </w:tcPr>
          <w:p>
            <w:pPr>
              <w:spacing w:after="40"/>
            </w:pPr>
            <w:r>
              <w:rPr>
                <w:rFonts w:ascii="Aptos" w:hAnsi="Aptos"/>
                <w:color w:val="10243E"/>
                <w:sz w:val="16"/>
              </w:rPr>
              <w:t>Alignment</w:t>
            </w:r>
          </w:p>
        </w:tc>
        <w:tc>
          <w:tcPr>
            <w:tcW w:type="dxa" w:w="8280"/>
            <w:vAlign w:val="top"/>
          </w:tcPr>
          <w:p>
            <w:pPr>
              <w:spacing w:after="40"/>
            </w:pPr>
            <w:r>
              <w:rPr>
                <w:rFonts w:ascii="Aptos" w:hAnsi="Aptos"/>
                <w:color w:val="10243E"/>
                <w:sz w:val="16"/>
              </w:rPr>
              <w:t>LO1, LO3</w:t>
            </w:r>
          </w:p>
        </w:tc>
      </w:tr>
      <w:tr>
        <w:trPr>
          <w:cantSplit/>
        </w:trPr>
        <w:tc>
          <w:tcPr>
            <w:tcW w:type="dxa" w:w="1800"/>
            <w:vAlign w:val="top"/>
          </w:tcPr>
          <w:p>
            <w:pPr>
              <w:spacing w:after="40"/>
            </w:pPr>
            <w:r>
              <w:rPr>
                <w:rFonts w:ascii="Aptos" w:hAnsi="Aptos"/>
                <w:color w:val="10243E"/>
                <w:sz w:val="16"/>
              </w:rPr>
              <w:t>Tool</w:t>
            </w:r>
          </w:p>
        </w:tc>
        <w:tc>
          <w:tcPr>
            <w:tcW w:type="dxa" w:w="8280"/>
            <w:vAlign w:val="top"/>
          </w:tcPr>
          <w:p>
            <w:pPr>
              <w:spacing w:after="40"/>
            </w:pPr>
            <w:r>
              <w:rPr>
                <w:rFonts w:ascii="Aptos" w:hAnsi="Aptos"/>
                <w:color w:val="10243E"/>
                <w:sz w:val="16"/>
              </w:rPr>
              <w:t>Cybersecurity Simulator + Regex Generator</w:t>
            </w:r>
          </w:p>
        </w:tc>
      </w:tr>
      <w:tr>
        <w:trPr>
          <w:cantSplit/>
        </w:trPr>
        <w:tc>
          <w:tcPr>
            <w:tcW w:type="dxa" w:w="1800"/>
            <w:vAlign w:val="top"/>
          </w:tcPr>
          <w:p>
            <w:pPr>
              <w:spacing w:after="40"/>
            </w:pPr>
            <w:r>
              <w:rPr>
                <w:rFonts w:ascii="Aptos" w:hAnsi="Aptos"/>
                <w:color w:val="10243E"/>
                <w:sz w:val="16"/>
              </w:rPr>
              <w:t>Scenario</w:t>
            </w:r>
          </w:p>
        </w:tc>
        <w:tc>
          <w:tcPr>
            <w:tcW w:type="dxa" w:w="8280"/>
            <w:vAlign w:val="top"/>
          </w:tcPr>
          <w:p>
            <w:pPr>
              <w:spacing w:after="40"/>
            </w:pPr>
            <w:r>
              <w:rPr>
                <w:rFonts w:ascii="Aptos" w:hAnsi="Aptos"/>
                <w:color w:val="10243E"/>
                <w:sz w:val="16"/>
              </w:rPr>
              <w:t>Accounts staff must detect a lookalike supplier domain before approving a high-value transfer.</w:t>
            </w:r>
          </w:p>
        </w:tc>
      </w:tr>
      <w:tr>
        <w:trPr>
          <w:cantSplit/>
        </w:trPr>
        <w:tc>
          <w:tcPr>
            <w:tcW w:type="dxa" w:w="1800"/>
            <w:vAlign w:val="top"/>
          </w:tcPr>
          <w:p>
            <w:pPr>
              <w:spacing w:after="40"/>
            </w:pPr>
            <w:r>
              <w:rPr>
                <w:rFonts w:ascii="Aptos" w:hAnsi="Aptos"/>
                <w:color w:val="10243E"/>
                <w:sz w:val="16"/>
              </w:rPr>
              <w:t>Mock data</w:t>
            </w:r>
          </w:p>
        </w:tc>
        <w:tc>
          <w:tcPr>
            <w:tcW w:type="dxa" w:w="8280"/>
            <w:vAlign w:val="top"/>
          </w:tcPr>
          <w:p>
            <w:pPr>
              <w:spacing w:after="40"/>
            </w:pPr>
            <w:r>
              <w:rPr>
                <w:rFonts w:ascii="Aptos" w:hAnsi="Aptos"/>
                <w:color w:val="10243E"/>
                <w:sz w:val="16"/>
              </w:rPr>
              <w:t>mock-inbox.csv, mock-approved-domains.csv</w:t>
            </w:r>
          </w:p>
        </w:tc>
      </w:tr>
      <w:tr>
        <w:trPr>
          <w:cantSplit/>
        </w:trPr>
        <w:tc>
          <w:tcPr>
            <w:tcW w:type="dxa" w:w="1800"/>
            <w:vAlign w:val="top"/>
          </w:tcPr>
          <w:p>
            <w:pPr>
              <w:spacing w:after="40"/>
            </w:pPr>
            <w:r>
              <w:rPr>
                <w:rFonts w:ascii="Aptos" w:hAnsi="Aptos"/>
                <w:color w:val="10243E"/>
                <w:sz w:val="16"/>
              </w:rPr>
              <w:t>Safety</w:t>
            </w:r>
          </w:p>
        </w:tc>
        <w:tc>
          <w:tcPr>
            <w:tcW w:type="dxa" w:w="8280"/>
            <w:vAlign w:val="top"/>
          </w:tcPr>
          <w:p>
            <w:pPr>
              <w:spacing w:after="40"/>
            </w:pPr>
            <w:r>
              <w:rPr>
                <w:rFonts w:ascii="Aptos" w:hAnsi="Aptos"/>
                <w:color w:val="10243E"/>
                <w:sz w:val="16"/>
              </w:rPr>
              <w:t>Use only the supplied mock data and the named training environment. Stop if the target or scope differs.</w:t>
            </w:r>
          </w:p>
        </w:tc>
      </w:tr>
    </w:tbl>
    <w:p>
      <w:r>
        <w:rPr>
          <w:b/>
        </w:rPr>
        <w:t xml:space="preserve">Open tool: </w:t>
      </w:r>
      <w:hyperlink r:id="rId31">
        <w:r>
          <w:rPr>
            <w:color w:val="176B87"/>
            <w:u w:val="single"/>
          </w:rPr>
          <w:t>https://alfredang.github.io/regexgenerator/</w:t>
        </w:r>
      </w:hyperlink>
    </w:p>
    <w:p>
      <w:pPr>
        <w:pStyle w:val="Heading3"/>
      </w:pPr>
      <w:r>
        <w:t>Procedure</w:t>
      </w:r>
    </w:p>
    <w:p>
      <w:pPr>
        <w:pStyle w:val="ListNumber"/>
        <w:numPr>
          <w:ilvl w:val="0"/>
          <w:numId w:val="11"/>
        </w:numPr>
      </w:pPr>
      <w:r>
        <w:t>Compare each sender domain in mock-inbox.csv with the approved supplier domains; inspect every character.</w:t>
      </w:r>
    </w:p>
    <w:p>
      <w:pPr>
        <w:pStyle w:val="ListNumber"/>
        <w:numPr>
          <w:ilvl w:val="0"/>
          <w:numId w:val="11"/>
        </w:numPr>
      </w:pPr>
      <w:r>
        <w:t>Mark persuasion cues such as urgency, authority, secrecy, changed payment details and unusual attachments.</w:t>
      </w:r>
    </w:p>
    <w:p>
      <w:pPr>
        <w:pStyle w:val="ListNumber"/>
        <w:numPr>
          <w:ilvl w:val="0"/>
          <w:numId w:val="11"/>
        </w:numPr>
      </w:pPr>
      <w:r>
        <w:t>Use Regex Generator to create a pattern that flags the supplied lookalike-domain examples without matching the approved domains.</w:t>
      </w:r>
    </w:p>
    <w:p>
      <w:pPr>
        <w:pStyle w:val="ListNumber"/>
        <w:numPr>
          <w:ilvl w:val="0"/>
          <w:numId w:val="11"/>
        </w:numPr>
      </w:pPr>
      <w:r>
        <w:t>Test the expression on every sample; record true positives, false positives and false negatives.</w:t>
      </w:r>
    </w:p>
    <w:p>
      <w:pPr>
        <w:pStyle w:val="ListNumber"/>
        <w:numPr>
          <w:ilvl w:val="0"/>
          <w:numId w:val="11"/>
        </w:numPr>
      </w:pPr>
      <w:r>
        <w:t>Draft a safe verification message and a call-back procedure that uses a previously known contact channel.</w:t>
      </w:r>
    </w:p>
    <w:p>
      <w:pPr>
        <w:pStyle w:val="ListNumber"/>
        <w:numPr>
          <w:ilvl w:val="0"/>
          <w:numId w:val="11"/>
        </w:numPr>
      </w:pPr>
      <w:r>
        <w:t>Decide which emails require immediate escalation and name the recipient role, urgency and evidence to include.</w:t>
      </w:r>
    </w:p>
    <w:p>
      <w:pPr>
        <w:pStyle w:val="Heading3"/>
      </w:pPr>
      <w:r>
        <w:t>Evidence and acceptance criteria</w:t>
      </w:r>
    </w:p>
    <w:p>
      <w:pPr>
        <w:pStyle w:val="ListBullet"/>
      </w:pPr>
      <w:r>
        <w:t>Annotated inbox — complete, legible, based only on mock data, and traceable to the decision made.</w:t>
      </w:r>
    </w:p>
    <w:p>
      <w:pPr>
        <w:pStyle w:val="ListBullet"/>
      </w:pPr>
      <w:r>
        <w:t>Tested regex — complete, legible, based only on mock data, and traceable to the decision made.</w:t>
      </w:r>
    </w:p>
    <w:p>
      <w:pPr>
        <w:pStyle w:val="ListBullet"/>
      </w:pPr>
      <w:r>
        <w:t>Detection test results — complete, legible, based only on mock data, and traceable to the decision made.</w:t>
      </w:r>
    </w:p>
    <w:p>
      <w:pPr>
        <w:pStyle w:val="ListBullet"/>
      </w:pPr>
      <w:r>
        <w:t>Independent verification script — complete, legible, based only on mock data, and traceable to the decision made.</w:t>
      </w:r>
    </w:p>
    <w:p>
      <w:pPr>
        <w:pStyle w:val="ListBullet"/>
      </w:pPr>
      <w:r>
        <w:t>Escalation decision — complete, legible, based only on mock data, and traceable to the decision made.</w:t>
      </w:r>
    </w:p>
    <w:p>
      <w:pPr>
        <w:pStyle w:val="Callout"/>
      </w:pPr>
      <w:r>
        <w:t>Reflection: What evidence would make you reverse your decision, and who would need to know?</w:t>
      </w:r>
    </w:p>
    <w:p>
      <w:pPr>
        <w:pStyle w:val="Heading2"/>
      </w:pPr>
      <w:r>
        <w:t>Lab-03: Recognise Malware and Endpoint Warning Signs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0B2545"/>
            <w:vAlign w:val="center"/>
          </w:tcPr>
          <w:p>
            <w:r>
              <w:rPr>
                <w:b/>
                <w:color w:val="FFFFFF"/>
                <w:sz w:val="16"/>
              </w:rPr>
              <w:t>Field</w:t>
            </w:r>
          </w:p>
        </w:tc>
        <w:tc>
          <w:tcPr>
            <w:tcW w:type="dxa" w:w="8280"/>
            <w:shd w:fill="0B2545"/>
            <w:vAlign w:val="center"/>
          </w:tcPr>
          <w:p>
            <w:r>
              <w:rPr>
                <w:b/>
                <w:color w:val="FFFFFF"/>
                <w:sz w:val="16"/>
              </w:rPr>
              <w:t>Detail</w:t>
            </w:r>
          </w:p>
        </w:tc>
      </w:tr>
      <w:tr>
        <w:trPr>
          <w:cantSplit/>
        </w:trPr>
        <w:tc>
          <w:tcPr>
            <w:tcW w:type="dxa" w:w="1800"/>
            <w:vAlign w:val="top"/>
          </w:tcPr>
          <w:p>
            <w:pPr>
              <w:spacing w:after="40"/>
            </w:pPr>
            <w:r>
              <w:rPr>
                <w:rFonts w:ascii="Aptos" w:hAnsi="Aptos"/>
                <w:color w:val="10243E"/>
                <w:sz w:val="16"/>
              </w:rPr>
              <w:t>Time</w:t>
            </w:r>
          </w:p>
        </w:tc>
        <w:tc>
          <w:tcPr>
            <w:tcW w:type="dxa" w:w="8280"/>
            <w:vAlign w:val="top"/>
          </w:tcPr>
          <w:p>
            <w:pPr>
              <w:spacing w:after="40"/>
            </w:pPr>
            <w:r>
              <w:rPr>
                <w:rFonts w:ascii="Aptos" w:hAnsi="Aptos"/>
                <w:color w:val="10243E"/>
                <w:sz w:val="16"/>
              </w:rPr>
              <w:t>30 minutes</w:t>
            </w:r>
          </w:p>
        </w:tc>
      </w:tr>
      <w:tr>
        <w:trPr>
          <w:cantSplit/>
        </w:trPr>
        <w:tc>
          <w:tcPr>
            <w:tcW w:type="dxa" w:w="1800"/>
            <w:vAlign w:val="top"/>
          </w:tcPr>
          <w:p>
            <w:pPr>
              <w:spacing w:after="40"/>
            </w:pPr>
            <w:r>
              <w:rPr>
                <w:rFonts w:ascii="Aptos" w:hAnsi="Aptos"/>
                <w:color w:val="10243E"/>
                <w:sz w:val="16"/>
              </w:rPr>
              <w:t>Alignment</w:t>
            </w:r>
          </w:p>
        </w:tc>
        <w:tc>
          <w:tcPr>
            <w:tcW w:type="dxa" w:w="8280"/>
            <w:vAlign w:val="top"/>
          </w:tcPr>
          <w:p>
            <w:pPr>
              <w:spacing w:after="40"/>
            </w:pPr>
            <w:r>
              <w:rPr>
                <w:rFonts w:ascii="Aptos" w:hAnsi="Aptos"/>
                <w:color w:val="10243E"/>
                <w:sz w:val="16"/>
              </w:rPr>
              <w:t>LO1, LO3</w:t>
            </w:r>
          </w:p>
        </w:tc>
      </w:tr>
      <w:tr>
        <w:trPr>
          <w:cantSplit/>
        </w:trPr>
        <w:tc>
          <w:tcPr>
            <w:tcW w:type="dxa" w:w="1800"/>
            <w:vAlign w:val="top"/>
          </w:tcPr>
          <w:p>
            <w:pPr>
              <w:spacing w:after="40"/>
            </w:pPr>
            <w:r>
              <w:rPr>
                <w:rFonts w:ascii="Aptos" w:hAnsi="Aptos"/>
                <w:color w:val="10243E"/>
                <w:sz w:val="16"/>
              </w:rPr>
              <w:t>Tool</w:t>
            </w:r>
          </w:p>
        </w:tc>
        <w:tc>
          <w:tcPr>
            <w:tcW w:type="dxa" w:w="8280"/>
            <w:vAlign w:val="top"/>
          </w:tcPr>
          <w:p>
            <w:pPr>
              <w:spacing w:after="40"/>
            </w:pPr>
            <w:r>
              <w:rPr>
                <w:rFonts w:ascii="Aptos" w:hAnsi="Aptos"/>
                <w:color w:val="10243E"/>
                <w:sz w:val="16"/>
              </w:rPr>
              <w:t>Cybersecurity Simulator</w:t>
            </w:r>
          </w:p>
        </w:tc>
      </w:tr>
      <w:tr>
        <w:trPr>
          <w:cantSplit/>
        </w:trPr>
        <w:tc>
          <w:tcPr>
            <w:tcW w:type="dxa" w:w="1800"/>
            <w:vAlign w:val="top"/>
          </w:tcPr>
          <w:p>
            <w:pPr>
              <w:spacing w:after="40"/>
            </w:pPr>
            <w:r>
              <w:rPr>
                <w:rFonts w:ascii="Aptos" w:hAnsi="Aptos"/>
                <w:color w:val="10243E"/>
                <w:sz w:val="16"/>
              </w:rPr>
              <w:t>Scenario</w:t>
            </w:r>
          </w:p>
        </w:tc>
        <w:tc>
          <w:tcPr>
            <w:tcW w:type="dxa" w:w="8280"/>
            <w:vAlign w:val="top"/>
          </w:tcPr>
          <w:p>
            <w:pPr>
              <w:spacing w:after="40"/>
            </w:pPr>
            <w:r>
              <w:rPr>
                <w:rFonts w:ascii="Aptos" w:hAnsi="Aptos"/>
                <w:color w:val="10243E"/>
                <w:sz w:val="16"/>
              </w:rPr>
              <w:t>Endpoint alerts reveal suspicious processes, persistence and outbound connections on an employee laptop.</w:t>
            </w:r>
          </w:p>
        </w:tc>
      </w:tr>
      <w:tr>
        <w:trPr>
          <w:cantSplit/>
        </w:trPr>
        <w:tc>
          <w:tcPr>
            <w:tcW w:type="dxa" w:w="1800"/>
            <w:vAlign w:val="top"/>
          </w:tcPr>
          <w:p>
            <w:pPr>
              <w:spacing w:after="40"/>
            </w:pPr>
            <w:r>
              <w:rPr>
                <w:rFonts w:ascii="Aptos" w:hAnsi="Aptos"/>
                <w:color w:val="10243E"/>
                <w:sz w:val="16"/>
              </w:rPr>
              <w:t>Mock data</w:t>
            </w:r>
          </w:p>
        </w:tc>
        <w:tc>
          <w:tcPr>
            <w:tcW w:type="dxa" w:w="8280"/>
            <w:vAlign w:val="top"/>
          </w:tcPr>
          <w:p>
            <w:pPr>
              <w:spacing w:after="40"/>
            </w:pPr>
            <w:r>
              <w:rPr>
                <w:rFonts w:ascii="Aptos" w:hAnsi="Aptos"/>
                <w:color w:val="10243E"/>
                <w:sz w:val="16"/>
              </w:rPr>
              <w:t>mock-endpoint-alerts.json</w:t>
            </w:r>
          </w:p>
        </w:tc>
      </w:tr>
      <w:tr>
        <w:trPr>
          <w:cantSplit/>
        </w:trPr>
        <w:tc>
          <w:tcPr>
            <w:tcW w:type="dxa" w:w="1800"/>
            <w:vAlign w:val="top"/>
          </w:tcPr>
          <w:p>
            <w:pPr>
              <w:spacing w:after="40"/>
            </w:pPr>
            <w:r>
              <w:rPr>
                <w:rFonts w:ascii="Aptos" w:hAnsi="Aptos"/>
                <w:color w:val="10243E"/>
                <w:sz w:val="16"/>
              </w:rPr>
              <w:t>Safety</w:t>
            </w:r>
          </w:p>
        </w:tc>
        <w:tc>
          <w:tcPr>
            <w:tcW w:type="dxa" w:w="8280"/>
            <w:vAlign w:val="top"/>
          </w:tcPr>
          <w:p>
            <w:pPr>
              <w:spacing w:after="40"/>
            </w:pPr>
            <w:r>
              <w:rPr>
                <w:rFonts w:ascii="Aptos" w:hAnsi="Aptos"/>
                <w:color w:val="10243E"/>
                <w:sz w:val="16"/>
              </w:rPr>
              <w:t>Use only the supplied mock data and the named training environment. Stop if the target or scope differs.</w:t>
            </w:r>
          </w:p>
        </w:tc>
      </w:tr>
    </w:tbl>
    <w:p>
      <w:r>
        <w:rPr>
          <w:b/>
        </w:rPr>
        <w:t xml:space="preserve">Open tool: </w:t>
      </w:r>
      <w:hyperlink r:id="rId30">
        <w:r>
          <w:rPr>
            <w:color w:val="176B87"/>
            <w:u w:val="single"/>
          </w:rPr>
          <w:t>https://alfredang.github.io/cybersecuritysimulator/</w:t>
        </w:r>
      </w:hyperlink>
    </w:p>
    <w:p>
      <w:pPr>
        <w:pStyle w:val="Heading3"/>
      </w:pPr>
      <w:r>
        <w:t>Procedure</w:t>
      </w:r>
    </w:p>
    <w:p>
      <w:pPr>
        <w:pStyle w:val="ListNumber"/>
        <w:numPr>
          <w:ilvl w:val="0"/>
          <w:numId w:val="12"/>
        </w:numPr>
      </w:pPr>
      <w:r>
        <w:t>Review each endpoint alert without opening or executing any referenced file.</w:t>
      </w:r>
    </w:p>
    <w:p>
      <w:pPr>
        <w:pStyle w:val="ListNumber"/>
        <w:numPr>
          <w:ilvl w:val="0"/>
          <w:numId w:val="12"/>
        </w:numPr>
      </w:pPr>
      <w:r>
        <w:t>Map the observable behaviour to a likely malware category: ransomware, trojan, spyware, worm, bot or rootkit.</w:t>
      </w:r>
    </w:p>
    <w:p>
      <w:pPr>
        <w:pStyle w:val="ListNumber"/>
        <w:numPr>
          <w:ilvl w:val="0"/>
          <w:numId w:val="12"/>
        </w:numPr>
      </w:pPr>
      <w:r>
        <w:t>Separate evidence from inference; identify what additional safe telemetry would confirm the hypothesis.</w:t>
      </w:r>
    </w:p>
    <w:p>
      <w:pPr>
        <w:pStyle w:val="ListNumber"/>
        <w:numPr>
          <w:ilvl w:val="0"/>
          <w:numId w:val="12"/>
        </w:numPr>
      </w:pPr>
      <w:r>
        <w:t>Build a short attack chain from initial access through execution, persistence and command-and-control.</w:t>
      </w:r>
    </w:p>
    <w:p>
      <w:pPr>
        <w:pStyle w:val="ListNumber"/>
        <w:numPr>
          <w:ilvl w:val="0"/>
          <w:numId w:val="12"/>
        </w:numPr>
      </w:pPr>
      <w:r>
        <w:t>Choose containment actions that preserve evidence and avoid spreading the infection.</w:t>
      </w:r>
    </w:p>
    <w:p>
      <w:pPr>
        <w:pStyle w:val="ListNumber"/>
        <w:numPr>
          <w:ilvl w:val="0"/>
          <w:numId w:val="12"/>
        </w:numPr>
      </w:pPr>
      <w:r>
        <w:t>Prepare a concise escalation note using who, what, when, where, impact and action already taken.</w:t>
      </w:r>
    </w:p>
    <w:p>
      <w:pPr>
        <w:pStyle w:val="Heading3"/>
      </w:pPr>
      <w:r>
        <w:t>Evidence and acceptance criteria</w:t>
      </w:r>
    </w:p>
    <w:p>
      <w:pPr>
        <w:pStyle w:val="ListBullet"/>
      </w:pPr>
      <w:r>
        <w:t>Malware classification — complete, legible, based only on mock data, and traceable to the decision made.</w:t>
      </w:r>
    </w:p>
    <w:p>
      <w:pPr>
        <w:pStyle w:val="ListBullet"/>
      </w:pPr>
      <w:r>
        <w:t>Attack-chain map — complete, legible, based only on mock data, and traceable to the decision made.</w:t>
      </w:r>
    </w:p>
    <w:p>
      <w:pPr>
        <w:pStyle w:val="ListBullet"/>
      </w:pPr>
      <w:r>
        <w:t>Evidence vs inference notes — complete, legible, based only on mock data, and traceable to the decision made.</w:t>
      </w:r>
    </w:p>
    <w:p>
      <w:pPr>
        <w:pStyle w:val="ListBullet"/>
      </w:pPr>
      <w:r>
        <w:t>Containment decision — complete, legible, based only on mock data, and traceable to the decision made.</w:t>
      </w:r>
    </w:p>
    <w:p>
      <w:pPr>
        <w:pStyle w:val="ListBullet"/>
      </w:pPr>
      <w:r>
        <w:t>Escalation note — complete, legible, based only on mock data, and traceable to the decision made.</w:t>
      </w:r>
    </w:p>
    <w:p>
      <w:pPr>
        <w:pStyle w:val="Callout"/>
      </w:pPr>
      <w:r>
        <w:t>Reflection: What evidence would make you reverse your decision, and who would need to know?</w:t>
      </w:r>
    </w:p>
    <w:p>
      <w:pPr>
        <w:pStyle w:val="Heading2"/>
      </w:pPr>
      <w:r>
        <w:t>Lab-04: Prioritise Vulnerabilities by Business Risk</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0B2545"/>
            <w:vAlign w:val="center"/>
          </w:tcPr>
          <w:p>
            <w:r>
              <w:rPr>
                <w:b/>
                <w:color w:val="FFFFFF"/>
                <w:sz w:val="16"/>
              </w:rPr>
              <w:t>Field</w:t>
            </w:r>
          </w:p>
        </w:tc>
        <w:tc>
          <w:tcPr>
            <w:tcW w:type="dxa" w:w="8280"/>
            <w:shd w:fill="0B2545"/>
            <w:vAlign w:val="center"/>
          </w:tcPr>
          <w:p>
            <w:r>
              <w:rPr>
                <w:b/>
                <w:color w:val="FFFFFF"/>
                <w:sz w:val="16"/>
              </w:rPr>
              <w:t>Detail</w:t>
            </w:r>
          </w:p>
        </w:tc>
      </w:tr>
      <w:tr>
        <w:trPr>
          <w:cantSplit/>
        </w:trPr>
        <w:tc>
          <w:tcPr>
            <w:tcW w:type="dxa" w:w="1800"/>
            <w:vAlign w:val="top"/>
          </w:tcPr>
          <w:p>
            <w:pPr>
              <w:spacing w:after="40"/>
            </w:pPr>
            <w:r>
              <w:rPr>
                <w:rFonts w:ascii="Aptos" w:hAnsi="Aptos"/>
                <w:color w:val="10243E"/>
                <w:sz w:val="16"/>
              </w:rPr>
              <w:t>Time</w:t>
            </w:r>
          </w:p>
        </w:tc>
        <w:tc>
          <w:tcPr>
            <w:tcW w:type="dxa" w:w="8280"/>
            <w:vAlign w:val="top"/>
          </w:tcPr>
          <w:p>
            <w:pPr>
              <w:spacing w:after="40"/>
            </w:pPr>
            <w:r>
              <w:rPr>
                <w:rFonts w:ascii="Aptos" w:hAnsi="Aptos"/>
                <w:color w:val="10243E"/>
                <w:sz w:val="16"/>
              </w:rPr>
              <w:t>35 minutes</w:t>
            </w:r>
          </w:p>
        </w:tc>
      </w:tr>
      <w:tr>
        <w:trPr>
          <w:cantSplit/>
        </w:trPr>
        <w:tc>
          <w:tcPr>
            <w:tcW w:type="dxa" w:w="1800"/>
            <w:vAlign w:val="top"/>
          </w:tcPr>
          <w:p>
            <w:pPr>
              <w:spacing w:after="40"/>
            </w:pPr>
            <w:r>
              <w:rPr>
                <w:rFonts w:ascii="Aptos" w:hAnsi="Aptos"/>
                <w:color w:val="10243E"/>
                <w:sz w:val="16"/>
              </w:rPr>
              <w:t>Alignment</w:t>
            </w:r>
          </w:p>
        </w:tc>
        <w:tc>
          <w:tcPr>
            <w:tcW w:type="dxa" w:w="8280"/>
            <w:vAlign w:val="top"/>
          </w:tcPr>
          <w:p>
            <w:pPr>
              <w:spacing w:after="40"/>
            </w:pPr>
            <w:r>
              <w:rPr>
                <w:rFonts w:ascii="Aptos" w:hAnsi="Aptos"/>
                <w:color w:val="10243E"/>
                <w:sz w:val="16"/>
              </w:rPr>
              <w:t>LO1</w:t>
            </w:r>
          </w:p>
        </w:tc>
      </w:tr>
      <w:tr>
        <w:trPr>
          <w:cantSplit/>
        </w:trPr>
        <w:tc>
          <w:tcPr>
            <w:tcW w:type="dxa" w:w="1800"/>
            <w:vAlign w:val="top"/>
          </w:tcPr>
          <w:p>
            <w:pPr>
              <w:spacing w:after="40"/>
            </w:pPr>
            <w:r>
              <w:rPr>
                <w:rFonts w:ascii="Aptos" w:hAnsi="Aptos"/>
                <w:color w:val="10243E"/>
                <w:sz w:val="16"/>
              </w:rPr>
              <w:t>Tool</w:t>
            </w:r>
          </w:p>
        </w:tc>
        <w:tc>
          <w:tcPr>
            <w:tcW w:type="dxa" w:w="8280"/>
            <w:vAlign w:val="top"/>
          </w:tcPr>
          <w:p>
            <w:pPr>
              <w:spacing w:after="40"/>
            </w:pPr>
            <w:r>
              <w:rPr>
                <w:rFonts w:ascii="Aptos" w:hAnsi="Aptos"/>
                <w:color w:val="10243E"/>
                <w:sz w:val="16"/>
              </w:rPr>
              <w:t>Ethical Hacking Simulator</w:t>
            </w:r>
          </w:p>
        </w:tc>
      </w:tr>
      <w:tr>
        <w:trPr>
          <w:cantSplit/>
        </w:trPr>
        <w:tc>
          <w:tcPr>
            <w:tcW w:type="dxa" w:w="1800"/>
            <w:vAlign w:val="top"/>
          </w:tcPr>
          <w:p>
            <w:pPr>
              <w:spacing w:after="40"/>
            </w:pPr>
            <w:r>
              <w:rPr>
                <w:rFonts w:ascii="Aptos" w:hAnsi="Aptos"/>
                <w:color w:val="10243E"/>
                <w:sz w:val="16"/>
              </w:rPr>
              <w:t>Scenario</w:t>
            </w:r>
          </w:p>
        </w:tc>
        <w:tc>
          <w:tcPr>
            <w:tcW w:type="dxa" w:w="8280"/>
            <w:vAlign w:val="top"/>
          </w:tcPr>
          <w:p>
            <w:pPr>
              <w:spacing w:after="40"/>
            </w:pPr>
            <w:r>
              <w:rPr>
                <w:rFonts w:ascii="Aptos" w:hAnsi="Aptos"/>
                <w:color w:val="10243E"/>
                <w:sz w:val="16"/>
              </w:rPr>
              <w:t>An SME has limited maintenance time and must decide which exposures to address first.</w:t>
            </w:r>
          </w:p>
        </w:tc>
      </w:tr>
      <w:tr>
        <w:trPr>
          <w:cantSplit/>
        </w:trPr>
        <w:tc>
          <w:tcPr>
            <w:tcW w:type="dxa" w:w="1800"/>
            <w:vAlign w:val="top"/>
          </w:tcPr>
          <w:p>
            <w:pPr>
              <w:spacing w:after="40"/>
            </w:pPr>
            <w:r>
              <w:rPr>
                <w:rFonts w:ascii="Aptos" w:hAnsi="Aptos"/>
                <w:color w:val="10243E"/>
                <w:sz w:val="16"/>
              </w:rPr>
              <w:t>Mock data</w:t>
            </w:r>
          </w:p>
        </w:tc>
        <w:tc>
          <w:tcPr>
            <w:tcW w:type="dxa" w:w="8280"/>
            <w:vAlign w:val="top"/>
          </w:tcPr>
          <w:p>
            <w:pPr>
              <w:spacing w:after="40"/>
            </w:pPr>
            <w:r>
              <w:rPr>
                <w:rFonts w:ascii="Aptos" w:hAnsi="Aptos"/>
                <w:color w:val="10243E"/>
                <w:sz w:val="16"/>
              </w:rPr>
              <w:t>mock-vulnerability-register.csv, mock-asset-context.csv</w:t>
            </w:r>
          </w:p>
        </w:tc>
      </w:tr>
      <w:tr>
        <w:trPr>
          <w:cantSplit/>
        </w:trPr>
        <w:tc>
          <w:tcPr>
            <w:tcW w:type="dxa" w:w="1800"/>
            <w:vAlign w:val="top"/>
          </w:tcPr>
          <w:p>
            <w:pPr>
              <w:spacing w:after="40"/>
            </w:pPr>
            <w:r>
              <w:rPr>
                <w:rFonts w:ascii="Aptos" w:hAnsi="Aptos"/>
                <w:color w:val="10243E"/>
                <w:sz w:val="16"/>
              </w:rPr>
              <w:t>Safety</w:t>
            </w:r>
          </w:p>
        </w:tc>
        <w:tc>
          <w:tcPr>
            <w:tcW w:type="dxa" w:w="8280"/>
            <w:vAlign w:val="top"/>
          </w:tcPr>
          <w:p>
            <w:pPr>
              <w:spacing w:after="40"/>
            </w:pPr>
            <w:r>
              <w:rPr>
                <w:rFonts w:ascii="Aptos" w:hAnsi="Aptos"/>
                <w:color w:val="10243E"/>
                <w:sz w:val="16"/>
              </w:rPr>
              <w:t>Use only the supplied mock data and the named training environment. Stop if the target or scope differs.</w:t>
            </w:r>
          </w:p>
        </w:tc>
      </w:tr>
    </w:tbl>
    <w:p>
      <w:r>
        <w:rPr>
          <w:b/>
        </w:rPr>
        <w:t xml:space="preserve">Open tool: </w:t>
      </w:r>
      <w:hyperlink r:id="rId32">
        <w:r>
          <w:rPr>
            <w:color w:val="176B87"/>
            <w:u w:val="single"/>
          </w:rPr>
          <w:t>https://alfredang.github.io/ethnicalhacking/</w:t>
        </w:r>
      </w:hyperlink>
    </w:p>
    <w:p>
      <w:pPr>
        <w:pStyle w:val="Heading3"/>
      </w:pPr>
      <w:r>
        <w:t>Procedure</w:t>
      </w:r>
    </w:p>
    <w:p>
      <w:pPr>
        <w:pStyle w:val="ListNumber"/>
        <w:numPr>
          <w:ilvl w:val="0"/>
          <w:numId w:val="13"/>
        </w:numPr>
      </w:pPr>
      <w:r>
        <w:t>Review each vulnerability together with asset owner, internet exposure, data sensitivity and operational criticality.</w:t>
      </w:r>
    </w:p>
    <w:p>
      <w:pPr>
        <w:pStyle w:val="ListNumber"/>
        <w:numPr>
          <w:ilvl w:val="0"/>
          <w:numId w:val="13"/>
        </w:numPr>
      </w:pPr>
      <w:r>
        <w:t>Use the simulator only in its authorised training environment to observe how attack preconditions change risk.</w:t>
      </w:r>
    </w:p>
    <w:p>
      <w:pPr>
        <w:pStyle w:val="ListNumber"/>
        <w:numPr>
          <w:ilvl w:val="0"/>
          <w:numId w:val="13"/>
        </w:numPr>
      </w:pPr>
      <w:r>
        <w:t>Calculate risk as likelihood × impact, then adjust the score for active exploitation, reachability and control strength.</w:t>
      </w:r>
    </w:p>
    <w:p>
      <w:pPr>
        <w:pStyle w:val="ListNumber"/>
        <w:numPr>
          <w:ilvl w:val="0"/>
          <w:numId w:val="13"/>
        </w:numPr>
      </w:pPr>
      <w:r>
        <w:t>Rank the vulnerabilities and state why severity alone does not determine business priority.</w:t>
      </w:r>
    </w:p>
    <w:p>
      <w:pPr>
        <w:pStyle w:val="ListNumber"/>
        <w:numPr>
          <w:ilvl w:val="0"/>
          <w:numId w:val="13"/>
        </w:numPr>
      </w:pPr>
      <w:r>
        <w:t>Select a treatment: patch, isolate, disable, add a compensating control, accept temporarily or retire the asset.</w:t>
      </w:r>
    </w:p>
    <w:p>
      <w:pPr>
        <w:pStyle w:val="ListNumber"/>
        <w:numPr>
          <w:ilvl w:val="0"/>
          <w:numId w:val="13"/>
        </w:numPr>
      </w:pPr>
      <w:r>
        <w:t>Set an owner, due date and verification method for the top three actions.</w:t>
      </w:r>
    </w:p>
    <w:p>
      <w:pPr>
        <w:pStyle w:val="Heading3"/>
      </w:pPr>
      <w:r>
        <w:t>Evidence and acceptance criteria</w:t>
      </w:r>
    </w:p>
    <w:p>
      <w:pPr>
        <w:pStyle w:val="ListBullet"/>
      </w:pPr>
      <w:r>
        <w:t>Ranked risk register — complete, legible, based only on mock data, and traceable to the decision made.</w:t>
      </w:r>
    </w:p>
    <w:p>
      <w:pPr>
        <w:pStyle w:val="ListBullet"/>
      </w:pPr>
      <w:r>
        <w:t>Top-three rationale — complete, legible, based only on mock data, and traceable to the decision made.</w:t>
      </w:r>
    </w:p>
    <w:p>
      <w:pPr>
        <w:pStyle w:val="ListBullet"/>
      </w:pPr>
      <w:r>
        <w:t>Treatment decisions — complete, legible, based only on mock data, and traceable to the decision made.</w:t>
      </w:r>
    </w:p>
    <w:p>
      <w:pPr>
        <w:pStyle w:val="ListBullet"/>
      </w:pPr>
      <w:r>
        <w:t>Owners and due dates — complete, legible, based only on mock data, and traceable to the decision made.</w:t>
      </w:r>
    </w:p>
    <w:p>
      <w:pPr>
        <w:pStyle w:val="ListBullet"/>
      </w:pPr>
      <w:r>
        <w:t>Verification plan — complete, legible, based only on mock data, and traceable to the decision made.</w:t>
      </w:r>
    </w:p>
    <w:p>
      <w:pPr>
        <w:pStyle w:val="Callout"/>
      </w:pPr>
      <w:r>
        <w:t>Reflection: What evidence would make you reverse your decision, and who would need to know?</w:t>
      </w:r>
    </w:p>
    <w:p>
      <w:pPr>
        <w:pStyle w:val="Heading2"/>
      </w:pPr>
      <w:r>
        <w:t>Lab-05: Authorised Web-Risk Review in FauxBank</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0B2545"/>
            <w:vAlign w:val="center"/>
          </w:tcPr>
          <w:p>
            <w:r>
              <w:rPr>
                <w:b/>
                <w:color w:val="FFFFFF"/>
                <w:sz w:val="16"/>
              </w:rPr>
              <w:t>Field</w:t>
            </w:r>
          </w:p>
        </w:tc>
        <w:tc>
          <w:tcPr>
            <w:tcW w:type="dxa" w:w="8280"/>
            <w:shd w:fill="0B2545"/>
            <w:vAlign w:val="center"/>
          </w:tcPr>
          <w:p>
            <w:r>
              <w:rPr>
                <w:b/>
                <w:color w:val="FFFFFF"/>
                <w:sz w:val="16"/>
              </w:rPr>
              <w:t>Detail</w:t>
            </w:r>
          </w:p>
        </w:tc>
      </w:tr>
      <w:tr>
        <w:trPr>
          <w:cantSplit/>
        </w:trPr>
        <w:tc>
          <w:tcPr>
            <w:tcW w:type="dxa" w:w="1800"/>
            <w:vAlign w:val="top"/>
          </w:tcPr>
          <w:p>
            <w:pPr>
              <w:spacing w:after="40"/>
            </w:pPr>
            <w:r>
              <w:rPr>
                <w:rFonts w:ascii="Aptos" w:hAnsi="Aptos"/>
                <w:color w:val="10243E"/>
                <w:sz w:val="16"/>
              </w:rPr>
              <w:t>Time</w:t>
            </w:r>
          </w:p>
        </w:tc>
        <w:tc>
          <w:tcPr>
            <w:tcW w:type="dxa" w:w="8280"/>
            <w:vAlign w:val="top"/>
          </w:tcPr>
          <w:p>
            <w:pPr>
              <w:spacing w:after="40"/>
            </w:pPr>
            <w:r>
              <w:rPr>
                <w:rFonts w:ascii="Aptos" w:hAnsi="Aptos"/>
                <w:color w:val="10243E"/>
                <w:sz w:val="16"/>
              </w:rPr>
              <w:t>40 minutes</w:t>
            </w:r>
          </w:p>
        </w:tc>
      </w:tr>
      <w:tr>
        <w:trPr>
          <w:cantSplit/>
        </w:trPr>
        <w:tc>
          <w:tcPr>
            <w:tcW w:type="dxa" w:w="1800"/>
            <w:vAlign w:val="top"/>
          </w:tcPr>
          <w:p>
            <w:pPr>
              <w:spacing w:after="40"/>
            </w:pPr>
            <w:r>
              <w:rPr>
                <w:rFonts w:ascii="Aptos" w:hAnsi="Aptos"/>
                <w:color w:val="10243E"/>
                <w:sz w:val="16"/>
              </w:rPr>
              <w:t>Alignment</w:t>
            </w:r>
          </w:p>
        </w:tc>
        <w:tc>
          <w:tcPr>
            <w:tcW w:type="dxa" w:w="8280"/>
            <w:vAlign w:val="top"/>
          </w:tcPr>
          <w:p>
            <w:pPr>
              <w:spacing w:after="40"/>
            </w:pPr>
            <w:r>
              <w:rPr>
                <w:rFonts w:ascii="Aptos" w:hAnsi="Aptos"/>
                <w:color w:val="10243E"/>
                <w:sz w:val="16"/>
              </w:rPr>
              <w:t>LO1, LO3</w:t>
            </w:r>
          </w:p>
        </w:tc>
      </w:tr>
      <w:tr>
        <w:trPr>
          <w:cantSplit/>
        </w:trPr>
        <w:tc>
          <w:tcPr>
            <w:tcW w:type="dxa" w:w="1800"/>
            <w:vAlign w:val="top"/>
          </w:tcPr>
          <w:p>
            <w:pPr>
              <w:spacing w:after="40"/>
            </w:pPr>
            <w:r>
              <w:rPr>
                <w:rFonts w:ascii="Aptos" w:hAnsi="Aptos"/>
                <w:color w:val="10243E"/>
                <w:sz w:val="16"/>
              </w:rPr>
              <w:t>Tool</w:t>
            </w:r>
          </w:p>
        </w:tc>
        <w:tc>
          <w:tcPr>
            <w:tcW w:type="dxa" w:w="8280"/>
            <w:vAlign w:val="top"/>
          </w:tcPr>
          <w:p>
            <w:pPr>
              <w:spacing w:after="40"/>
            </w:pPr>
            <w:r>
              <w:rPr>
                <w:rFonts w:ascii="Aptos" w:hAnsi="Aptos"/>
                <w:color w:val="10243E"/>
                <w:sz w:val="16"/>
              </w:rPr>
              <w:t>FauxBank</w:t>
            </w:r>
          </w:p>
        </w:tc>
      </w:tr>
      <w:tr>
        <w:trPr>
          <w:cantSplit/>
        </w:trPr>
        <w:tc>
          <w:tcPr>
            <w:tcW w:type="dxa" w:w="1800"/>
            <w:vAlign w:val="top"/>
          </w:tcPr>
          <w:p>
            <w:pPr>
              <w:spacing w:after="40"/>
            </w:pPr>
            <w:r>
              <w:rPr>
                <w:rFonts w:ascii="Aptos" w:hAnsi="Aptos"/>
                <w:color w:val="10243E"/>
                <w:sz w:val="16"/>
              </w:rPr>
              <w:t>Scenario</w:t>
            </w:r>
          </w:p>
        </w:tc>
        <w:tc>
          <w:tcPr>
            <w:tcW w:type="dxa" w:w="8280"/>
            <w:vAlign w:val="top"/>
          </w:tcPr>
          <w:p>
            <w:pPr>
              <w:spacing w:after="40"/>
            </w:pPr>
            <w:r>
              <w:rPr>
                <w:rFonts w:ascii="Aptos" w:hAnsi="Aptos"/>
                <w:color w:val="10243E"/>
                <w:sz w:val="16"/>
              </w:rPr>
              <w:t>A bank training application needs a safe, evidence-based review of authentication and input-handling risks.</w:t>
            </w:r>
          </w:p>
        </w:tc>
      </w:tr>
      <w:tr>
        <w:trPr>
          <w:cantSplit/>
        </w:trPr>
        <w:tc>
          <w:tcPr>
            <w:tcW w:type="dxa" w:w="1800"/>
            <w:vAlign w:val="top"/>
          </w:tcPr>
          <w:p>
            <w:pPr>
              <w:spacing w:after="40"/>
            </w:pPr>
            <w:r>
              <w:rPr>
                <w:rFonts w:ascii="Aptos" w:hAnsi="Aptos"/>
                <w:color w:val="10243E"/>
                <w:sz w:val="16"/>
              </w:rPr>
              <w:t>Mock data</w:t>
            </w:r>
          </w:p>
        </w:tc>
        <w:tc>
          <w:tcPr>
            <w:tcW w:type="dxa" w:w="8280"/>
            <w:vAlign w:val="top"/>
          </w:tcPr>
          <w:p>
            <w:pPr>
              <w:spacing w:after="40"/>
            </w:pPr>
            <w:r>
              <w:rPr>
                <w:rFonts w:ascii="Aptos" w:hAnsi="Aptos"/>
                <w:color w:val="10243E"/>
                <w:sz w:val="16"/>
              </w:rPr>
              <w:t>mock-fauxbank-test-plan.csv, mock-test-accounts.csv</w:t>
            </w:r>
          </w:p>
        </w:tc>
      </w:tr>
      <w:tr>
        <w:trPr>
          <w:cantSplit/>
        </w:trPr>
        <w:tc>
          <w:tcPr>
            <w:tcW w:type="dxa" w:w="1800"/>
            <w:vAlign w:val="top"/>
          </w:tcPr>
          <w:p>
            <w:pPr>
              <w:spacing w:after="40"/>
            </w:pPr>
            <w:r>
              <w:rPr>
                <w:rFonts w:ascii="Aptos" w:hAnsi="Aptos"/>
                <w:color w:val="10243E"/>
                <w:sz w:val="16"/>
              </w:rPr>
              <w:t>Safety</w:t>
            </w:r>
          </w:p>
        </w:tc>
        <w:tc>
          <w:tcPr>
            <w:tcW w:type="dxa" w:w="8280"/>
            <w:vAlign w:val="top"/>
          </w:tcPr>
          <w:p>
            <w:pPr>
              <w:spacing w:after="40"/>
            </w:pPr>
            <w:r>
              <w:rPr>
                <w:rFonts w:ascii="Aptos" w:hAnsi="Aptos"/>
                <w:color w:val="10243E"/>
                <w:sz w:val="16"/>
              </w:rPr>
              <w:t>Use only the supplied mock data and the named training environment. Stop if the target or scope differs.</w:t>
            </w:r>
          </w:p>
        </w:tc>
      </w:tr>
    </w:tbl>
    <w:p>
      <w:r>
        <w:rPr>
          <w:b/>
        </w:rPr>
        <w:t xml:space="preserve">Open tool: </w:t>
      </w:r>
      <w:hyperlink r:id="rId33">
        <w:r>
          <w:rPr>
            <w:color w:val="176B87"/>
            <w:u w:val="single"/>
          </w:rPr>
          <w:t>https://pentest-fauxbank.vercel.app/</w:t>
        </w:r>
      </w:hyperlink>
    </w:p>
    <w:p>
      <w:pPr>
        <w:pStyle w:val="Heading3"/>
      </w:pPr>
      <w:r>
        <w:t>Procedure</w:t>
      </w:r>
    </w:p>
    <w:p>
      <w:pPr>
        <w:pStyle w:val="ListNumber"/>
        <w:numPr>
          <w:ilvl w:val="0"/>
          <w:numId w:val="14"/>
        </w:numPr>
      </w:pPr>
      <w:r>
        <w:t>Confirm the scope is limited to the supplied FauxBank training site and mock accounts; do not test any other system.</w:t>
      </w:r>
    </w:p>
    <w:p>
      <w:pPr>
        <w:pStyle w:val="ListNumber"/>
        <w:numPr>
          <w:ilvl w:val="0"/>
          <w:numId w:val="14"/>
        </w:numPr>
      </w:pPr>
      <w:r>
        <w:t>Review the test plan and identify the expected safe outcome for authentication, authorisation and input validation.</w:t>
      </w:r>
    </w:p>
    <w:p>
      <w:pPr>
        <w:pStyle w:val="ListNumber"/>
        <w:numPr>
          <w:ilvl w:val="0"/>
          <w:numId w:val="14"/>
        </w:numPr>
      </w:pPr>
      <w:r>
        <w:t>Run only the non-destructive checks listed in the plan; never attempt data destruction, denial of service or persistence.</w:t>
      </w:r>
    </w:p>
    <w:p>
      <w:pPr>
        <w:pStyle w:val="ListNumber"/>
        <w:numPr>
          <w:ilvl w:val="0"/>
          <w:numId w:val="14"/>
        </w:numPr>
      </w:pPr>
      <w:r>
        <w:t>Record the request context, observed behaviour, risk, affected user and reproducibility without storing real credentials.</w:t>
      </w:r>
    </w:p>
    <w:p>
      <w:pPr>
        <w:pStyle w:val="ListNumber"/>
        <w:numPr>
          <w:ilvl w:val="0"/>
          <w:numId w:val="14"/>
        </w:numPr>
      </w:pPr>
      <w:r>
        <w:t>Map each observation to a vulnerability category and a defensive recommendation.</w:t>
      </w:r>
    </w:p>
    <w:p>
      <w:pPr>
        <w:pStyle w:val="ListNumber"/>
        <w:numPr>
          <w:ilvl w:val="0"/>
          <w:numId w:val="14"/>
        </w:numPr>
      </w:pPr>
      <w:r>
        <w:t>Create a one-page responsible report with evidence, impact, remediation and escalation priority.</w:t>
      </w:r>
    </w:p>
    <w:p>
      <w:pPr>
        <w:pStyle w:val="Heading3"/>
      </w:pPr>
      <w:r>
        <w:t>Evidence and acceptance criteria</w:t>
      </w:r>
    </w:p>
    <w:p>
      <w:pPr>
        <w:pStyle w:val="ListBullet"/>
      </w:pPr>
      <w:r>
        <w:t>Signed scope check — complete, legible, based only on mock data, and traceable to the decision made.</w:t>
      </w:r>
    </w:p>
    <w:p>
      <w:pPr>
        <w:pStyle w:val="ListBullet"/>
      </w:pPr>
      <w:r>
        <w:t>Completed test plan — complete, legible, based only on mock data, and traceable to the decision made.</w:t>
      </w:r>
    </w:p>
    <w:p>
      <w:pPr>
        <w:pStyle w:val="ListBullet"/>
      </w:pPr>
      <w:r>
        <w:t>Redacted screenshots — complete, legible, based only on mock data, and traceable to the decision made.</w:t>
      </w:r>
    </w:p>
    <w:p>
      <w:pPr>
        <w:pStyle w:val="ListBullet"/>
      </w:pPr>
      <w:r>
        <w:t>Risk statements — complete, legible, based only on mock data, and traceable to the decision made.</w:t>
      </w:r>
    </w:p>
    <w:p>
      <w:pPr>
        <w:pStyle w:val="ListBullet"/>
      </w:pPr>
      <w:r>
        <w:t>Responsible report — complete, legible, based only on mock data, and traceable to the decision made.</w:t>
      </w:r>
    </w:p>
    <w:p>
      <w:pPr>
        <w:pStyle w:val="Callout"/>
      </w:pPr>
      <w:r>
        <w:t>Reflection: What evidence would make you reverse your decision, and who would need to know?</w:t>
      </w:r>
    </w:p>
    <w:p>
      <w:pPr>
        <w:pStyle w:val="Heading2"/>
      </w:pPr>
      <w:r>
        <w:t>Lab-06: Protect Data with Hashing and Encryption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0B2545"/>
            <w:vAlign w:val="center"/>
          </w:tcPr>
          <w:p>
            <w:r>
              <w:rPr>
                <w:b/>
                <w:color w:val="FFFFFF"/>
                <w:sz w:val="16"/>
              </w:rPr>
              <w:t>Field</w:t>
            </w:r>
          </w:p>
        </w:tc>
        <w:tc>
          <w:tcPr>
            <w:tcW w:type="dxa" w:w="8280"/>
            <w:shd w:fill="0B2545"/>
            <w:vAlign w:val="center"/>
          </w:tcPr>
          <w:p>
            <w:r>
              <w:rPr>
                <w:b/>
                <w:color w:val="FFFFFF"/>
                <w:sz w:val="16"/>
              </w:rPr>
              <w:t>Detail</w:t>
            </w:r>
          </w:p>
        </w:tc>
      </w:tr>
      <w:tr>
        <w:trPr>
          <w:cantSplit/>
        </w:trPr>
        <w:tc>
          <w:tcPr>
            <w:tcW w:type="dxa" w:w="1800"/>
            <w:vAlign w:val="top"/>
          </w:tcPr>
          <w:p>
            <w:pPr>
              <w:spacing w:after="40"/>
            </w:pPr>
            <w:r>
              <w:rPr>
                <w:rFonts w:ascii="Aptos" w:hAnsi="Aptos"/>
                <w:color w:val="10243E"/>
                <w:sz w:val="16"/>
              </w:rPr>
              <w:t>Time</w:t>
            </w:r>
          </w:p>
        </w:tc>
        <w:tc>
          <w:tcPr>
            <w:tcW w:type="dxa" w:w="8280"/>
            <w:vAlign w:val="top"/>
          </w:tcPr>
          <w:p>
            <w:pPr>
              <w:spacing w:after="40"/>
            </w:pPr>
            <w:r>
              <w:rPr>
                <w:rFonts w:ascii="Aptos" w:hAnsi="Aptos"/>
                <w:color w:val="10243E"/>
                <w:sz w:val="16"/>
              </w:rPr>
              <w:t>30 minutes</w:t>
            </w:r>
          </w:p>
        </w:tc>
      </w:tr>
      <w:tr>
        <w:trPr>
          <w:cantSplit/>
        </w:trPr>
        <w:tc>
          <w:tcPr>
            <w:tcW w:type="dxa" w:w="1800"/>
            <w:vAlign w:val="top"/>
          </w:tcPr>
          <w:p>
            <w:pPr>
              <w:spacing w:after="40"/>
            </w:pPr>
            <w:r>
              <w:rPr>
                <w:rFonts w:ascii="Aptos" w:hAnsi="Aptos"/>
                <w:color w:val="10243E"/>
                <w:sz w:val="16"/>
              </w:rPr>
              <w:t>Alignment</w:t>
            </w:r>
          </w:p>
        </w:tc>
        <w:tc>
          <w:tcPr>
            <w:tcW w:type="dxa" w:w="8280"/>
            <w:vAlign w:val="top"/>
          </w:tcPr>
          <w:p>
            <w:pPr>
              <w:spacing w:after="40"/>
            </w:pPr>
            <w:r>
              <w:rPr>
                <w:rFonts w:ascii="Aptos" w:hAnsi="Aptos"/>
                <w:color w:val="10243E"/>
                <w:sz w:val="16"/>
              </w:rPr>
              <w:t>LO2, LO3</w:t>
            </w:r>
          </w:p>
        </w:tc>
      </w:tr>
      <w:tr>
        <w:trPr>
          <w:cantSplit/>
        </w:trPr>
        <w:tc>
          <w:tcPr>
            <w:tcW w:type="dxa" w:w="1800"/>
            <w:vAlign w:val="top"/>
          </w:tcPr>
          <w:p>
            <w:pPr>
              <w:spacing w:after="40"/>
            </w:pPr>
            <w:r>
              <w:rPr>
                <w:rFonts w:ascii="Aptos" w:hAnsi="Aptos"/>
                <w:color w:val="10243E"/>
                <w:sz w:val="16"/>
              </w:rPr>
              <w:t>Tool</w:t>
            </w:r>
          </w:p>
        </w:tc>
        <w:tc>
          <w:tcPr>
            <w:tcW w:type="dxa" w:w="8280"/>
            <w:vAlign w:val="top"/>
          </w:tcPr>
          <w:p>
            <w:pPr>
              <w:spacing w:after="40"/>
            </w:pPr>
            <w:r>
              <w:rPr>
                <w:rFonts w:ascii="Aptos" w:hAnsi="Aptos"/>
                <w:color w:val="10243E"/>
                <w:sz w:val="16"/>
              </w:rPr>
              <w:t>Cryptography Toolkit</w:t>
            </w:r>
          </w:p>
        </w:tc>
      </w:tr>
      <w:tr>
        <w:trPr>
          <w:cantSplit/>
        </w:trPr>
        <w:tc>
          <w:tcPr>
            <w:tcW w:type="dxa" w:w="1800"/>
            <w:vAlign w:val="top"/>
          </w:tcPr>
          <w:p>
            <w:pPr>
              <w:spacing w:after="40"/>
            </w:pPr>
            <w:r>
              <w:rPr>
                <w:rFonts w:ascii="Aptos" w:hAnsi="Aptos"/>
                <w:color w:val="10243E"/>
                <w:sz w:val="16"/>
              </w:rPr>
              <w:t>Scenario</w:t>
            </w:r>
          </w:p>
        </w:tc>
        <w:tc>
          <w:tcPr>
            <w:tcW w:type="dxa" w:w="8280"/>
            <w:vAlign w:val="top"/>
          </w:tcPr>
          <w:p>
            <w:pPr>
              <w:spacing w:after="40"/>
            </w:pPr>
            <w:r>
              <w:rPr>
                <w:rFonts w:ascii="Aptos" w:hAnsi="Aptos"/>
                <w:color w:val="10243E"/>
                <w:sz w:val="16"/>
              </w:rPr>
              <w:t>A clinic must distinguish confidentiality, integrity checking and password storage when protecting mock records.</w:t>
            </w:r>
          </w:p>
        </w:tc>
      </w:tr>
      <w:tr>
        <w:trPr>
          <w:cantSplit/>
        </w:trPr>
        <w:tc>
          <w:tcPr>
            <w:tcW w:type="dxa" w:w="1800"/>
            <w:vAlign w:val="top"/>
          </w:tcPr>
          <w:p>
            <w:pPr>
              <w:spacing w:after="40"/>
            </w:pPr>
            <w:r>
              <w:rPr>
                <w:rFonts w:ascii="Aptos" w:hAnsi="Aptos"/>
                <w:color w:val="10243E"/>
                <w:sz w:val="16"/>
              </w:rPr>
              <w:t>Mock data</w:t>
            </w:r>
          </w:p>
        </w:tc>
        <w:tc>
          <w:tcPr>
            <w:tcW w:type="dxa" w:w="8280"/>
            <w:vAlign w:val="top"/>
          </w:tcPr>
          <w:p>
            <w:pPr>
              <w:spacing w:after="40"/>
            </w:pPr>
            <w:r>
              <w:rPr>
                <w:rFonts w:ascii="Aptos" w:hAnsi="Aptos"/>
                <w:color w:val="10243E"/>
                <w:sz w:val="16"/>
              </w:rPr>
              <w:t>mock-sensitive-records.csv, mock-secrets.txt</w:t>
            </w:r>
          </w:p>
        </w:tc>
      </w:tr>
      <w:tr>
        <w:trPr>
          <w:cantSplit/>
        </w:trPr>
        <w:tc>
          <w:tcPr>
            <w:tcW w:type="dxa" w:w="1800"/>
            <w:vAlign w:val="top"/>
          </w:tcPr>
          <w:p>
            <w:pPr>
              <w:spacing w:after="40"/>
            </w:pPr>
            <w:r>
              <w:rPr>
                <w:rFonts w:ascii="Aptos" w:hAnsi="Aptos"/>
                <w:color w:val="10243E"/>
                <w:sz w:val="16"/>
              </w:rPr>
              <w:t>Safety</w:t>
            </w:r>
          </w:p>
        </w:tc>
        <w:tc>
          <w:tcPr>
            <w:tcW w:type="dxa" w:w="8280"/>
            <w:vAlign w:val="top"/>
          </w:tcPr>
          <w:p>
            <w:pPr>
              <w:spacing w:after="40"/>
            </w:pPr>
            <w:r>
              <w:rPr>
                <w:rFonts w:ascii="Aptos" w:hAnsi="Aptos"/>
                <w:color w:val="10243E"/>
                <w:sz w:val="16"/>
              </w:rPr>
              <w:t>Use only the supplied mock data and the named training environment. Stop if the target or scope differs.</w:t>
            </w:r>
          </w:p>
        </w:tc>
      </w:tr>
    </w:tbl>
    <w:p>
      <w:r>
        <w:rPr>
          <w:b/>
        </w:rPr>
        <w:t xml:space="preserve">Open tool: </w:t>
      </w:r>
      <w:hyperlink r:id="rId34">
        <w:r>
          <w:rPr>
            <w:color w:val="176B87"/>
            <w:u w:val="single"/>
          </w:rPr>
          <w:t>https://alfredang.github.io/cryptography-toolkit/</w:t>
        </w:r>
      </w:hyperlink>
    </w:p>
    <w:p>
      <w:pPr>
        <w:pStyle w:val="Heading3"/>
      </w:pPr>
      <w:r>
        <w:t>Procedure</w:t>
      </w:r>
    </w:p>
    <w:p>
      <w:pPr>
        <w:pStyle w:val="ListNumber"/>
        <w:numPr>
          <w:ilvl w:val="0"/>
          <w:numId w:val="15"/>
        </w:numPr>
      </w:pPr>
      <w:r>
        <w:t>Classify each mock data item by sensitivity and identify whether confidentiality, integrity or both are required.</w:t>
      </w:r>
    </w:p>
    <w:p>
      <w:pPr>
        <w:pStyle w:val="ListNumber"/>
        <w:numPr>
          <w:ilvl w:val="0"/>
          <w:numId w:val="15"/>
        </w:numPr>
      </w:pPr>
      <w:r>
        <w:t>Use the toolkit to hash two similar messages; compare the outputs and explain the avalanche effect.</w:t>
      </w:r>
    </w:p>
    <w:p>
      <w:pPr>
        <w:pStyle w:val="ListNumber"/>
        <w:numPr>
          <w:ilvl w:val="0"/>
          <w:numId w:val="15"/>
        </w:numPr>
      </w:pPr>
      <w:r>
        <w:t>Encrypt one mock record with a training-only key, then decrypt it and verify accuracy.</w:t>
      </w:r>
    </w:p>
    <w:p>
      <w:pPr>
        <w:pStyle w:val="ListNumber"/>
        <w:numPr>
          <w:ilvl w:val="0"/>
          <w:numId w:val="15"/>
        </w:numPr>
      </w:pPr>
      <w:r>
        <w:t>Explain why encryption keys must be separated from encrypted data and why hashing is not reversible encryption.</w:t>
      </w:r>
    </w:p>
    <w:p>
      <w:pPr>
        <w:pStyle w:val="ListNumber"/>
        <w:numPr>
          <w:ilvl w:val="0"/>
          <w:numId w:val="15"/>
        </w:numPr>
      </w:pPr>
      <w:r>
        <w:t>Design a key-handling checklist covering creation, storage, sharing, rotation, backup and destruction.</w:t>
      </w:r>
    </w:p>
    <w:p>
      <w:pPr>
        <w:pStyle w:val="ListNumber"/>
        <w:numPr>
          <w:ilvl w:val="0"/>
          <w:numId w:val="15"/>
        </w:numPr>
      </w:pPr>
      <w:r>
        <w:t>Remove any locally copied training secret after evidence capture; never enter real personal or business secrets.</w:t>
      </w:r>
    </w:p>
    <w:p>
      <w:pPr>
        <w:pStyle w:val="Heading3"/>
      </w:pPr>
      <w:r>
        <w:t>Evidence and acceptance criteria</w:t>
      </w:r>
    </w:p>
    <w:p>
      <w:pPr>
        <w:pStyle w:val="ListBullet"/>
      </w:pPr>
      <w:r>
        <w:t>Data classification — complete, legible, based only on mock data, and traceable to the decision made.</w:t>
      </w:r>
    </w:p>
    <w:p>
      <w:pPr>
        <w:pStyle w:val="ListBullet"/>
      </w:pPr>
      <w:r>
        <w:t>Hash comparison — complete, legible, based only on mock data, and traceable to the decision made.</w:t>
      </w:r>
    </w:p>
    <w:p>
      <w:pPr>
        <w:pStyle w:val="ListBullet"/>
      </w:pPr>
      <w:r>
        <w:t>Encrypted/decrypted sample — complete, legible, based only on mock data, and traceable to the decision made.</w:t>
      </w:r>
    </w:p>
    <w:p>
      <w:pPr>
        <w:pStyle w:val="ListBullet"/>
      </w:pPr>
      <w:r>
        <w:t>Key-handling checklist — complete, legible, based only on mock data, and traceable to the decision made.</w:t>
      </w:r>
    </w:p>
    <w:p>
      <w:pPr>
        <w:pStyle w:val="ListBullet"/>
      </w:pPr>
      <w:r>
        <w:t>Security explanation — complete, legible, based only on mock data, and traceable to the decision made.</w:t>
      </w:r>
    </w:p>
    <w:p>
      <w:pPr>
        <w:pStyle w:val="Callout"/>
      </w:pPr>
      <w:r>
        <w:t>Reflection: What evidence would make you reverse your decision, and who would need to know?</w:t>
      </w:r>
    </w:p>
    <w:p>
      <w:pPr>
        <w:pStyle w:val="Heading2"/>
      </w:pPr>
      <w:r>
        <w:t>Lab-07: Map Network Exposure and Segmentation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0B2545"/>
            <w:vAlign w:val="center"/>
          </w:tcPr>
          <w:p>
            <w:r>
              <w:rPr>
                <w:b/>
                <w:color w:val="FFFFFF"/>
                <w:sz w:val="16"/>
              </w:rPr>
              <w:t>Field</w:t>
            </w:r>
          </w:p>
        </w:tc>
        <w:tc>
          <w:tcPr>
            <w:tcW w:type="dxa" w:w="8280"/>
            <w:shd w:fill="0B2545"/>
            <w:vAlign w:val="center"/>
          </w:tcPr>
          <w:p>
            <w:r>
              <w:rPr>
                <w:b/>
                <w:color w:val="FFFFFF"/>
                <w:sz w:val="16"/>
              </w:rPr>
              <w:t>Detail</w:t>
            </w:r>
          </w:p>
        </w:tc>
      </w:tr>
      <w:tr>
        <w:trPr>
          <w:cantSplit/>
        </w:trPr>
        <w:tc>
          <w:tcPr>
            <w:tcW w:type="dxa" w:w="1800"/>
            <w:vAlign w:val="top"/>
          </w:tcPr>
          <w:p>
            <w:pPr>
              <w:spacing w:after="40"/>
            </w:pPr>
            <w:r>
              <w:rPr>
                <w:rFonts w:ascii="Aptos" w:hAnsi="Aptos"/>
                <w:color w:val="10243E"/>
                <w:sz w:val="16"/>
              </w:rPr>
              <w:t>Time</w:t>
            </w:r>
          </w:p>
        </w:tc>
        <w:tc>
          <w:tcPr>
            <w:tcW w:type="dxa" w:w="8280"/>
            <w:vAlign w:val="top"/>
          </w:tcPr>
          <w:p>
            <w:pPr>
              <w:spacing w:after="40"/>
            </w:pPr>
            <w:r>
              <w:rPr>
                <w:rFonts w:ascii="Aptos" w:hAnsi="Aptos"/>
                <w:color w:val="10243E"/>
                <w:sz w:val="16"/>
              </w:rPr>
              <w:t>35 minutes</w:t>
            </w:r>
          </w:p>
        </w:tc>
      </w:tr>
      <w:tr>
        <w:trPr>
          <w:cantSplit/>
        </w:trPr>
        <w:tc>
          <w:tcPr>
            <w:tcW w:type="dxa" w:w="1800"/>
            <w:vAlign w:val="top"/>
          </w:tcPr>
          <w:p>
            <w:pPr>
              <w:spacing w:after="40"/>
            </w:pPr>
            <w:r>
              <w:rPr>
                <w:rFonts w:ascii="Aptos" w:hAnsi="Aptos"/>
                <w:color w:val="10243E"/>
                <w:sz w:val="16"/>
              </w:rPr>
              <w:t>Alignment</w:t>
            </w:r>
          </w:p>
        </w:tc>
        <w:tc>
          <w:tcPr>
            <w:tcW w:type="dxa" w:w="8280"/>
            <w:vAlign w:val="top"/>
          </w:tcPr>
          <w:p>
            <w:pPr>
              <w:spacing w:after="40"/>
            </w:pPr>
            <w:r>
              <w:rPr>
                <w:rFonts w:ascii="Aptos" w:hAnsi="Aptos"/>
                <w:color w:val="10243E"/>
                <w:sz w:val="16"/>
              </w:rPr>
              <w:t>LO1, LO3</w:t>
            </w:r>
          </w:p>
        </w:tc>
      </w:tr>
      <w:tr>
        <w:trPr>
          <w:cantSplit/>
        </w:trPr>
        <w:tc>
          <w:tcPr>
            <w:tcW w:type="dxa" w:w="1800"/>
            <w:vAlign w:val="top"/>
          </w:tcPr>
          <w:p>
            <w:pPr>
              <w:spacing w:after="40"/>
            </w:pPr>
            <w:r>
              <w:rPr>
                <w:rFonts w:ascii="Aptos" w:hAnsi="Aptos"/>
                <w:color w:val="10243E"/>
                <w:sz w:val="16"/>
              </w:rPr>
              <w:t>Tool</w:t>
            </w:r>
          </w:p>
        </w:tc>
        <w:tc>
          <w:tcPr>
            <w:tcW w:type="dxa" w:w="8280"/>
            <w:vAlign w:val="top"/>
          </w:tcPr>
          <w:p>
            <w:pPr>
              <w:spacing w:after="40"/>
            </w:pPr>
            <w:r>
              <w:rPr>
                <w:rFonts w:ascii="Aptos" w:hAnsi="Aptos"/>
                <w:color w:val="10243E"/>
                <w:sz w:val="16"/>
              </w:rPr>
              <w:t>IP Calculator</w:t>
            </w:r>
          </w:p>
        </w:tc>
      </w:tr>
      <w:tr>
        <w:trPr>
          <w:cantSplit/>
        </w:trPr>
        <w:tc>
          <w:tcPr>
            <w:tcW w:type="dxa" w:w="1800"/>
            <w:vAlign w:val="top"/>
          </w:tcPr>
          <w:p>
            <w:pPr>
              <w:spacing w:after="40"/>
            </w:pPr>
            <w:r>
              <w:rPr>
                <w:rFonts w:ascii="Aptos" w:hAnsi="Aptos"/>
                <w:color w:val="10243E"/>
                <w:sz w:val="16"/>
              </w:rPr>
              <w:t>Scenario</w:t>
            </w:r>
          </w:p>
        </w:tc>
        <w:tc>
          <w:tcPr>
            <w:tcW w:type="dxa" w:w="8280"/>
            <w:vAlign w:val="top"/>
          </w:tcPr>
          <w:p>
            <w:pPr>
              <w:spacing w:after="40"/>
            </w:pPr>
            <w:r>
              <w:rPr>
                <w:rFonts w:ascii="Aptos" w:hAnsi="Aptos"/>
                <w:color w:val="10243E"/>
                <w:sz w:val="16"/>
              </w:rPr>
              <w:t>A retail office needs separate zones for staff, guests, point-of-sale devices and management systems.</w:t>
            </w:r>
          </w:p>
        </w:tc>
      </w:tr>
      <w:tr>
        <w:trPr>
          <w:cantSplit/>
        </w:trPr>
        <w:tc>
          <w:tcPr>
            <w:tcW w:type="dxa" w:w="1800"/>
            <w:vAlign w:val="top"/>
          </w:tcPr>
          <w:p>
            <w:pPr>
              <w:spacing w:after="40"/>
            </w:pPr>
            <w:r>
              <w:rPr>
                <w:rFonts w:ascii="Aptos" w:hAnsi="Aptos"/>
                <w:color w:val="10243E"/>
                <w:sz w:val="16"/>
              </w:rPr>
              <w:t>Mock data</w:t>
            </w:r>
          </w:p>
        </w:tc>
        <w:tc>
          <w:tcPr>
            <w:tcW w:type="dxa" w:w="8280"/>
            <w:vAlign w:val="top"/>
          </w:tcPr>
          <w:p>
            <w:pPr>
              <w:spacing w:after="40"/>
            </w:pPr>
            <w:r>
              <w:rPr>
                <w:rFonts w:ascii="Aptos" w:hAnsi="Aptos"/>
                <w:color w:val="10243E"/>
                <w:sz w:val="16"/>
              </w:rPr>
              <w:t>mock-network-assets.csv, mock-network-requirements.csv</w:t>
            </w:r>
          </w:p>
        </w:tc>
      </w:tr>
      <w:tr>
        <w:trPr>
          <w:cantSplit/>
        </w:trPr>
        <w:tc>
          <w:tcPr>
            <w:tcW w:type="dxa" w:w="1800"/>
            <w:vAlign w:val="top"/>
          </w:tcPr>
          <w:p>
            <w:pPr>
              <w:spacing w:after="40"/>
            </w:pPr>
            <w:r>
              <w:rPr>
                <w:rFonts w:ascii="Aptos" w:hAnsi="Aptos"/>
                <w:color w:val="10243E"/>
                <w:sz w:val="16"/>
              </w:rPr>
              <w:t>Safety</w:t>
            </w:r>
          </w:p>
        </w:tc>
        <w:tc>
          <w:tcPr>
            <w:tcW w:type="dxa" w:w="8280"/>
            <w:vAlign w:val="top"/>
          </w:tcPr>
          <w:p>
            <w:pPr>
              <w:spacing w:after="40"/>
            </w:pPr>
            <w:r>
              <w:rPr>
                <w:rFonts w:ascii="Aptos" w:hAnsi="Aptos"/>
                <w:color w:val="10243E"/>
                <w:sz w:val="16"/>
              </w:rPr>
              <w:t>Use only the supplied mock data and the named training environment. Stop if the target or scope differs.</w:t>
            </w:r>
          </w:p>
        </w:tc>
      </w:tr>
    </w:tbl>
    <w:p>
      <w:r>
        <w:rPr>
          <w:b/>
        </w:rPr>
        <w:t xml:space="preserve">Open tool: </w:t>
      </w:r>
      <w:hyperlink r:id="rId35">
        <w:r>
          <w:rPr>
            <w:color w:val="176B87"/>
            <w:u w:val="single"/>
          </w:rPr>
          <w:t>https://alfredang.github.io/ipcalculator/</w:t>
        </w:r>
      </w:hyperlink>
    </w:p>
    <w:p>
      <w:pPr>
        <w:pStyle w:val="Heading3"/>
      </w:pPr>
      <w:r>
        <w:t>Procedure</w:t>
      </w:r>
    </w:p>
    <w:p>
      <w:pPr>
        <w:pStyle w:val="ListNumber"/>
        <w:numPr>
          <w:ilvl w:val="0"/>
          <w:numId w:val="16"/>
        </w:numPr>
      </w:pPr>
      <w:r>
        <w:t>Group the mock assets by trust level, data sensitivity and operational role.</w:t>
      </w:r>
    </w:p>
    <w:p>
      <w:pPr>
        <w:pStyle w:val="ListNumber"/>
        <w:numPr>
          <w:ilvl w:val="0"/>
          <w:numId w:val="16"/>
        </w:numPr>
      </w:pPr>
      <w:r>
        <w:t>Use the IP Calculator to create non-overlapping training subnets sized for each group.</w:t>
      </w:r>
    </w:p>
    <w:p>
      <w:pPr>
        <w:pStyle w:val="ListNumber"/>
        <w:numPr>
          <w:ilvl w:val="0"/>
          <w:numId w:val="16"/>
        </w:numPr>
      </w:pPr>
      <w:r>
        <w:t>Record network address, usable host range, broadcast address and proposed gateway for each zone.</w:t>
      </w:r>
    </w:p>
    <w:p>
      <w:pPr>
        <w:pStyle w:val="ListNumber"/>
        <w:numPr>
          <w:ilvl w:val="0"/>
          <w:numId w:val="16"/>
        </w:numPr>
      </w:pPr>
      <w:r>
        <w:t>Draw allowed flows and deny-by-default boundaries between staff, guest, point-of-sale and management networks.</w:t>
      </w:r>
    </w:p>
    <w:p>
      <w:pPr>
        <w:pStyle w:val="ListNumber"/>
        <w:numPr>
          <w:ilvl w:val="0"/>
          <w:numId w:val="16"/>
        </w:numPr>
      </w:pPr>
      <w:r>
        <w:t>Identify which services, if any, need internet exposure and add a monitoring or access-control requirement.</w:t>
      </w:r>
    </w:p>
    <w:p>
      <w:pPr>
        <w:pStyle w:val="ListNumber"/>
        <w:numPr>
          <w:ilvl w:val="0"/>
          <w:numId w:val="16"/>
        </w:numPr>
      </w:pPr>
      <w:r>
        <w:t>Review the design for excessive trust and document one residual risk.</w:t>
      </w:r>
    </w:p>
    <w:p>
      <w:pPr>
        <w:pStyle w:val="Heading3"/>
      </w:pPr>
      <w:r>
        <w:t>Evidence and acceptance criteria</w:t>
      </w:r>
    </w:p>
    <w:p>
      <w:pPr>
        <w:pStyle w:val="ListBullet"/>
      </w:pPr>
      <w:r>
        <w:t>Subnet plan — complete, legible, based only on mock data, and traceable to the decision made.</w:t>
      </w:r>
    </w:p>
    <w:p>
      <w:pPr>
        <w:pStyle w:val="ListBullet"/>
      </w:pPr>
      <w:r>
        <w:t>Asset-to-zone mapping — complete, legible, based only on mock data, and traceable to the decision made.</w:t>
      </w:r>
    </w:p>
    <w:p>
      <w:pPr>
        <w:pStyle w:val="ListBullet"/>
      </w:pPr>
      <w:r>
        <w:t>Allowed-flow matrix — complete, legible, based only on mock data, and traceable to the decision made.</w:t>
      </w:r>
    </w:p>
    <w:p>
      <w:pPr>
        <w:pStyle w:val="ListBullet"/>
      </w:pPr>
      <w:r>
        <w:t>Exposure decisions — complete, legible, based only on mock data, and traceable to the decision made.</w:t>
      </w:r>
    </w:p>
    <w:p>
      <w:pPr>
        <w:pStyle w:val="ListBullet"/>
      </w:pPr>
      <w:r>
        <w:t>Residual risk — complete, legible, based only on mock data, and traceable to the decision made.</w:t>
      </w:r>
    </w:p>
    <w:p>
      <w:pPr>
        <w:pStyle w:val="Callout"/>
      </w:pPr>
      <w:r>
        <w:t>Reflection: What evidence would make you reverse your decision, and who would need to know?</w:t>
      </w:r>
    </w:p>
    <w:p>
      <w:pPr>
        <w:pStyle w:val="Heading2"/>
      </w:pPr>
      <w:r>
        <w:t>Lab-08: Triage Suspicious Network Traffic</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0B2545"/>
            <w:vAlign w:val="center"/>
          </w:tcPr>
          <w:p>
            <w:r>
              <w:rPr>
                <w:b/>
                <w:color w:val="FFFFFF"/>
                <w:sz w:val="16"/>
              </w:rPr>
              <w:t>Field</w:t>
            </w:r>
          </w:p>
        </w:tc>
        <w:tc>
          <w:tcPr>
            <w:tcW w:type="dxa" w:w="8280"/>
            <w:shd w:fill="0B2545"/>
            <w:vAlign w:val="center"/>
          </w:tcPr>
          <w:p>
            <w:r>
              <w:rPr>
                <w:b/>
                <w:color w:val="FFFFFF"/>
                <w:sz w:val="16"/>
              </w:rPr>
              <w:t>Detail</w:t>
            </w:r>
          </w:p>
        </w:tc>
      </w:tr>
      <w:tr>
        <w:trPr>
          <w:cantSplit/>
        </w:trPr>
        <w:tc>
          <w:tcPr>
            <w:tcW w:type="dxa" w:w="1800"/>
            <w:vAlign w:val="top"/>
          </w:tcPr>
          <w:p>
            <w:pPr>
              <w:spacing w:after="40"/>
            </w:pPr>
            <w:r>
              <w:rPr>
                <w:rFonts w:ascii="Aptos" w:hAnsi="Aptos"/>
                <w:color w:val="10243E"/>
                <w:sz w:val="16"/>
              </w:rPr>
              <w:t>Time</w:t>
            </w:r>
          </w:p>
        </w:tc>
        <w:tc>
          <w:tcPr>
            <w:tcW w:type="dxa" w:w="8280"/>
            <w:vAlign w:val="top"/>
          </w:tcPr>
          <w:p>
            <w:pPr>
              <w:spacing w:after="40"/>
            </w:pPr>
            <w:r>
              <w:rPr>
                <w:rFonts w:ascii="Aptos" w:hAnsi="Aptos"/>
                <w:color w:val="10243E"/>
                <w:sz w:val="16"/>
              </w:rPr>
              <w:t>35 minutes</w:t>
            </w:r>
          </w:p>
        </w:tc>
      </w:tr>
      <w:tr>
        <w:trPr>
          <w:cantSplit/>
        </w:trPr>
        <w:tc>
          <w:tcPr>
            <w:tcW w:type="dxa" w:w="1800"/>
            <w:vAlign w:val="top"/>
          </w:tcPr>
          <w:p>
            <w:pPr>
              <w:spacing w:after="40"/>
            </w:pPr>
            <w:r>
              <w:rPr>
                <w:rFonts w:ascii="Aptos" w:hAnsi="Aptos"/>
                <w:color w:val="10243E"/>
                <w:sz w:val="16"/>
              </w:rPr>
              <w:t>Alignment</w:t>
            </w:r>
          </w:p>
        </w:tc>
        <w:tc>
          <w:tcPr>
            <w:tcW w:type="dxa" w:w="8280"/>
            <w:vAlign w:val="top"/>
          </w:tcPr>
          <w:p>
            <w:pPr>
              <w:spacing w:after="40"/>
            </w:pPr>
            <w:r>
              <w:rPr>
                <w:rFonts w:ascii="Aptos" w:hAnsi="Aptos"/>
                <w:color w:val="10243E"/>
                <w:sz w:val="16"/>
              </w:rPr>
              <w:t>LO1, LO3</w:t>
            </w:r>
          </w:p>
        </w:tc>
      </w:tr>
      <w:tr>
        <w:trPr>
          <w:cantSplit/>
        </w:trPr>
        <w:tc>
          <w:tcPr>
            <w:tcW w:type="dxa" w:w="1800"/>
            <w:vAlign w:val="top"/>
          </w:tcPr>
          <w:p>
            <w:pPr>
              <w:spacing w:after="40"/>
            </w:pPr>
            <w:r>
              <w:rPr>
                <w:rFonts w:ascii="Aptos" w:hAnsi="Aptos"/>
                <w:color w:val="10243E"/>
                <w:sz w:val="16"/>
              </w:rPr>
              <w:t>Tool</w:t>
            </w:r>
          </w:p>
        </w:tc>
        <w:tc>
          <w:tcPr>
            <w:tcW w:type="dxa" w:w="8280"/>
            <w:vAlign w:val="top"/>
          </w:tcPr>
          <w:p>
            <w:pPr>
              <w:spacing w:after="40"/>
            </w:pPr>
            <w:r>
              <w:rPr>
                <w:rFonts w:ascii="Aptos" w:hAnsi="Aptos"/>
                <w:color w:val="10243E"/>
                <w:sz w:val="16"/>
              </w:rPr>
              <w:t>PCAP Analyzer</w:t>
            </w:r>
          </w:p>
        </w:tc>
      </w:tr>
      <w:tr>
        <w:trPr>
          <w:cantSplit/>
        </w:trPr>
        <w:tc>
          <w:tcPr>
            <w:tcW w:type="dxa" w:w="1800"/>
            <w:vAlign w:val="top"/>
          </w:tcPr>
          <w:p>
            <w:pPr>
              <w:spacing w:after="40"/>
            </w:pPr>
            <w:r>
              <w:rPr>
                <w:rFonts w:ascii="Aptos" w:hAnsi="Aptos"/>
                <w:color w:val="10243E"/>
                <w:sz w:val="16"/>
              </w:rPr>
              <w:t>Scenario</w:t>
            </w:r>
          </w:p>
        </w:tc>
        <w:tc>
          <w:tcPr>
            <w:tcW w:type="dxa" w:w="8280"/>
            <w:vAlign w:val="top"/>
          </w:tcPr>
          <w:p>
            <w:pPr>
              <w:spacing w:after="40"/>
            </w:pPr>
            <w:r>
              <w:rPr>
                <w:rFonts w:ascii="Aptos" w:hAnsi="Aptos"/>
                <w:color w:val="10243E"/>
                <w:sz w:val="16"/>
              </w:rPr>
              <w:t>A workstation generates unusual DNS and outbound traffic after a user opens an attachment.</w:t>
            </w:r>
          </w:p>
        </w:tc>
      </w:tr>
      <w:tr>
        <w:trPr>
          <w:cantSplit/>
        </w:trPr>
        <w:tc>
          <w:tcPr>
            <w:tcW w:type="dxa" w:w="1800"/>
            <w:vAlign w:val="top"/>
          </w:tcPr>
          <w:p>
            <w:pPr>
              <w:spacing w:after="40"/>
            </w:pPr>
            <w:r>
              <w:rPr>
                <w:rFonts w:ascii="Aptos" w:hAnsi="Aptos"/>
                <w:color w:val="10243E"/>
                <w:sz w:val="16"/>
              </w:rPr>
              <w:t>Mock data</w:t>
            </w:r>
          </w:p>
        </w:tc>
        <w:tc>
          <w:tcPr>
            <w:tcW w:type="dxa" w:w="8280"/>
            <w:vAlign w:val="top"/>
          </w:tcPr>
          <w:p>
            <w:pPr>
              <w:spacing w:after="40"/>
            </w:pPr>
            <w:r>
              <w:rPr>
                <w:rFonts w:ascii="Aptos" w:hAnsi="Aptos"/>
                <w:color w:val="10243E"/>
                <w:sz w:val="16"/>
              </w:rPr>
              <w:t>mock-traffic.pcap, mock-packet-summary.csv, mock-known-services.csv</w:t>
            </w:r>
          </w:p>
        </w:tc>
      </w:tr>
      <w:tr>
        <w:trPr>
          <w:cantSplit/>
        </w:trPr>
        <w:tc>
          <w:tcPr>
            <w:tcW w:type="dxa" w:w="1800"/>
            <w:vAlign w:val="top"/>
          </w:tcPr>
          <w:p>
            <w:pPr>
              <w:spacing w:after="40"/>
            </w:pPr>
            <w:r>
              <w:rPr>
                <w:rFonts w:ascii="Aptos" w:hAnsi="Aptos"/>
                <w:color w:val="10243E"/>
                <w:sz w:val="16"/>
              </w:rPr>
              <w:t>Safety</w:t>
            </w:r>
          </w:p>
        </w:tc>
        <w:tc>
          <w:tcPr>
            <w:tcW w:type="dxa" w:w="8280"/>
            <w:vAlign w:val="top"/>
          </w:tcPr>
          <w:p>
            <w:pPr>
              <w:spacing w:after="40"/>
            </w:pPr>
            <w:r>
              <w:rPr>
                <w:rFonts w:ascii="Aptos" w:hAnsi="Aptos"/>
                <w:color w:val="10243E"/>
                <w:sz w:val="16"/>
              </w:rPr>
              <w:t>Use only the supplied mock data and the named training environment. Stop if the target or scope differs.</w:t>
            </w:r>
          </w:p>
        </w:tc>
      </w:tr>
    </w:tbl>
    <w:p>
      <w:r>
        <w:rPr>
          <w:b/>
        </w:rPr>
        <w:t xml:space="preserve">Open tool: </w:t>
      </w:r>
      <w:hyperlink r:id="rId36">
        <w:r>
          <w:rPr>
            <w:color w:val="176B87"/>
            <w:u w:val="single"/>
          </w:rPr>
          <w:t>https://alfredang.github.io/pcapanalyzer/</w:t>
        </w:r>
      </w:hyperlink>
    </w:p>
    <w:p>
      <w:pPr>
        <w:pStyle w:val="Heading3"/>
      </w:pPr>
      <w:r>
        <w:t>Procedure</w:t>
      </w:r>
    </w:p>
    <w:p>
      <w:pPr>
        <w:pStyle w:val="ListNumber"/>
        <w:numPr>
          <w:ilvl w:val="0"/>
          <w:numId w:val="17"/>
        </w:numPr>
      </w:pPr>
      <w:r>
        <w:t>Upload only the supplied synthetic mock-traffic.pcap to the PCAP Analyzer; do not upload production captures.</w:t>
      </w:r>
    </w:p>
    <w:p>
      <w:pPr>
        <w:pStyle w:val="ListNumber"/>
        <w:numPr>
          <w:ilvl w:val="0"/>
          <w:numId w:val="17"/>
        </w:numPr>
      </w:pPr>
      <w:r>
        <w:t>Identify top talkers, unusual ports, repeated destinations, DNS lookups and cleartext indicators.</w:t>
      </w:r>
    </w:p>
    <w:p>
      <w:pPr>
        <w:pStyle w:val="ListNumber"/>
        <w:numPr>
          <w:ilvl w:val="0"/>
          <w:numId w:val="17"/>
        </w:numPr>
      </w:pPr>
      <w:r>
        <w:t>Correlate packet observations with mock-packet-summary.csv and mark any disagreement.</w:t>
      </w:r>
    </w:p>
    <w:p>
      <w:pPr>
        <w:pStyle w:val="ListNumber"/>
        <w:numPr>
          <w:ilvl w:val="0"/>
          <w:numId w:val="17"/>
        </w:numPr>
      </w:pPr>
      <w:r>
        <w:t>Build a five-event timeline and identify the earliest reliable sign of compromise.</w:t>
      </w:r>
    </w:p>
    <w:p>
      <w:pPr>
        <w:pStyle w:val="ListNumber"/>
        <w:numPr>
          <w:ilvl w:val="0"/>
          <w:numId w:val="17"/>
        </w:numPr>
      </w:pPr>
      <w:r>
        <w:t>Decide whether to monitor, block, isolate or escalate; include potential business impact.</w:t>
      </w:r>
    </w:p>
    <w:p>
      <w:pPr>
        <w:pStyle w:val="ListNumber"/>
        <w:numPr>
          <w:ilvl w:val="0"/>
          <w:numId w:val="17"/>
        </w:numPr>
      </w:pPr>
      <w:r>
        <w:t>Write an evidence-preserving handover note without including unnecessary personal data.</w:t>
      </w:r>
    </w:p>
    <w:p>
      <w:pPr>
        <w:pStyle w:val="Heading3"/>
      </w:pPr>
      <w:r>
        <w:t>Evidence and acceptance criteria</w:t>
      </w:r>
    </w:p>
    <w:p>
      <w:pPr>
        <w:pStyle w:val="ListBullet"/>
      </w:pPr>
      <w:r>
        <w:t>Traffic findings — complete, legible, based only on mock data, and traceable to the decision made.</w:t>
      </w:r>
    </w:p>
    <w:p>
      <w:pPr>
        <w:pStyle w:val="ListBullet"/>
      </w:pPr>
      <w:r>
        <w:t>Five-event timeline — complete, legible, based only on mock data, and traceable to the decision made.</w:t>
      </w:r>
    </w:p>
    <w:p>
      <w:pPr>
        <w:pStyle w:val="ListBullet"/>
      </w:pPr>
      <w:r>
        <w:t>Earliest reliable signal — complete, legible, based only on mock data, and traceable to the decision made.</w:t>
      </w:r>
    </w:p>
    <w:p>
      <w:pPr>
        <w:pStyle w:val="ListBullet"/>
      </w:pPr>
      <w:r>
        <w:t>Containment decision — complete, legible, based only on mock data, and traceable to the decision made.</w:t>
      </w:r>
    </w:p>
    <w:p>
      <w:pPr>
        <w:pStyle w:val="ListBullet"/>
      </w:pPr>
      <w:r>
        <w:t>Handover note — complete, legible, based only on mock data, and traceable to the decision made.</w:t>
      </w:r>
    </w:p>
    <w:p>
      <w:pPr>
        <w:pStyle w:val="Callout"/>
      </w:pPr>
      <w:r>
        <w:t>Reflection: What evidence would make you reverse your decision, and who would need to know?</w:t>
      </w:r>
    </w:p>
    <w:p>
      <w:pPr>
        <w:pStyle w:val="Heading2"/>
      </w:pPr>
      <w:r>
        <w:t>Lab-09: Design and Test a Detection Rule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0B2545"/>
            <w:vAlign w:val="center"/>
          </w:tcPr>
          <w:p>
            <w:r>
              <w:rPr>
                <w:b/>
                <w:color w:val="FFFFFF"/>
                <w:sz w:val="16"/>
              </w:rPr>
              <w:t>Field</w:t>
            </w:r>
          </w:p>
        </w:tc>
        <w:tc>
          <w:tcPr>
            <w:tcW w:type="dxa" w:w="8280"/>
            <w:shd w:fill="0B2545"/>
            <w:vAlign w:val="center"/>
          </w:tcPr>
          <w:p>
            <w:r>
              <w:rPr>
                <w:b/>
                <w:color w:val="FFFFFF"/>
                <w:sz w:val="16"/>
              </w:rPr>
              <w:t>Detail</w:t>
            </w:r>
          </w:p>
        </w:tc>
      </w:tr>
      <w:tr>
        <w:trPr>
          <w:cantSplit/>
        </w:trPr>
        <w:tc>
          <w:tcPr>
            <w:tcW w:type="dxa" w:w="1800"/>
            <w:vAlign w:val="top"/>
          </w:tcPr>
          <w:p>
            <w:pPr>
              <w:spacing w:after="40"/>
            </w:pPr>
            <w:r>
              <w:rPr>
                <w:rFonts w:ascii="Aptos" w:hAnsi="Aptos"/>
                <w:color w:val="10243E"/>
                <w:sz w:val="16"/>
              </w:rPr>
              <w:t>Time</w:t>
            </w:r>
          </w:p>
        </w:tc>
        <w:tc>
          <w:tcPr>
            <w:tcW w:type="dxa" w:w="8280"/>
            <w:vAlign w:val="top"/>
          </w:tcPr>
          <w:p>
            <w:pPr>
              <w:spacing w:after="40"/>
            </w:pPr>
            <w:r>
              <w:rPr>
                <w:rFonts w:ascii="Aptos" w:hAnsi="Aptos"/>
                <w:color w:val="10243E"/>
                <w:sz w:val="16"/>
              </w:rPr>
              <w:t>30 minutes</w:t>
            </w:r>
          </w:p>
        </w:tc>
      </w:tr>
      <w:tr>
        <w:trPr>
          <w:cantSplit/>
        </w:trPr>
        <w:tc>
          <w:tcPr>
            <w:tcW w:type="dxa" w:w="1800"/>
            <w:vAlign w:val="top"/>
          </w:tcPr>
          <w:p>
            <w:pPr>
              <w:spacing w:after="40"/>
            </w:pPr>
            <w:r>
              <w:rPr>
                <w:rFonts w:ascii="Aptos" w:hAnsi="Aptos"/>
                <w:color w:val="10243E"/>
                <w:sz w:val="16"/>
              </w:rPr>
              <w:t>Alignment</w:t>
            </w:r>
          </w:p>
        </w:tc>
        <w:tc>
          <w:tcPr>
            <w:tcW w:type="dxa" w:w="8280"/>
            <w:vAlign w:val="top"/>
          </w:tcPr>
          <w:p>
            <w:pPr>
              <w:spacing w:after="40"/>
            </w:pPr>
            <w:r>
              <w:rPr>
                <w:rFonts w:ascii="Aptos" w:hAnsi="Aptos"/>
                <w:color w:val="10243E"/>
                <w:sz w:val="16"/>
              </w:rPr>
              <w:t>LO3</w:t>
            </w:r>
          </w:p>
        </w:tc>
      </w:tr>
      <w:tr>
        <w:trPr>
          <w:cantSplit/>
        </w:trPr>
        <w:tc>
          <w:tcPr>
            <w:tcW w:type="dxa" w:w="1800"/>
            <w:vAlign w:val="top"/>
          </w:tcPr>
          <w:p>
            <w:pPr>
              <w:spacing w:after="40"/>
            </w:pPr>
            <w:r>
              <w:rPr>
                <w:rFonts w:ascii="Aptos" w:hAnsi="Aptos"/>
                <w:color w:val="10243E"/>
                <w:sz w:val="16"/>
              </w:rPr>
              <w:t>Tool</w:t>
            </w:r>
          </w:p>
        </w:tc>
        <w:tc>
          <w:tcPr>
            <w:tcW w:type="dxa" w:w="8280"/>
            <w:vAlign w:val="top"/>
          </w:tcPr>
          <w:p>
            <w:pPr>
              <w:spacing w:after="40"/>
            </w:pPr>
            <w:r>
              <w:rPr>
                <w:rFonts w:ascii="Aptos" w:hAnsi="Aptos"/>
                <w:color w:val="10243E"/>
                <w:sz w:val="16"/>
              </w:rPr>
              <w:t>Regex Generator</w:t>
            </w:r>
          </w:p>
        </w:tc>
      </w:tr>
      <w:tr>
        <w:trPr>
          <w:cantSplit/>
        </w:trPr>
        <w:tc>
          <w:tcPr>
            <w:tcW w:type="dxa" w:w="1800"/>
            <w:vAlign w:val="top"/>
          </w:tcPr>
          <w:p>
            <w:pPr>
              <w:spacing w:after="40"/>
            </w:pPr>
            <w:r>
              <w:rPr>
                <w:rFonts w:ascii="Aptos" w:hAnsi="Aptos"/>
                <w:color w:val="10243E"/>
                <w:sz w:val="16"/>
              </w:rPr>
              <w:t>Scenario</w:t>
            </w:r>
          </w:p>
        </w:tc>
        <w:tc>
          <w:tcPr>
            <w:tcW w:type="dxa" w:w="8280"/>
            <w:vAlign w:val="top"/>
          </w:tcPr>
          <w:p>
            <w:pPr>
              <w:spacing w:after="40"/>
            </w:pPr>
            <w:r>
              <w:rPr>
                <w:rFonts w:ascii="Aptos" w:hAnsi="Aptos"/>
                <w:color w:val="10243E"/>
                <w:sz w:val="16"/>
              </w:rPr>
              <w:t>A security team needs a transparent rule for repeated failed logins and suspicious usernames.</w:t>
            </w:r>
          </w:p>
        </w:tc>
      </w:tr>
      <w:tr>
        <w:trPr>
          <w:cantSplit/>
        </w:trPr>
        <w:tc>
          <w:tcPr>
            <w:tcW w:type="dxa" w:w="1800"/>
            <w:vAlign w:val="top"/>
          </w:tcPr>
          <w:p>
            <w:pPr>
              <w:spacing w:after="40"/>
            </w:pPr>
            <w:r>
              <w:rPr>
                <w:rFonts w:ascii="Aptos" w:hAnsi="Aptos"/>
                <w:color w:val="10243E"/>
                <w:sz w:val="16"/>
              </w:rPr>
              <w:t>Mock data</w:t>
            </w:r>
          </w:p>
        </w:tc>
        <w:tc>
          <w:tcPr>
            <w:tcW w:type="dxa" w:w="8280"/>
            <w:vAlign w:val="top"/>
          </w:tcPr>
          <w:p>
            <w:pPr>
              <w:spacing w:after="40"/>
            </w:pPr>
            <w:r>
              <w:rPr>
                <w:rFonts w:ascii="Aptos" w:hAnsi="Aptos"/>
                <w:color w:val="10243E"/>
                <w:sz w:val="16"/>
              </w:rPr>
              <w:t>mock-auth.log, mock-detection-requirements.csv</w:t>
            </w:r>
          </w:p>
        </w:tc>
      </w:tr>
      <w:tr>
        <w:trPr>
          <w:cantSplit/>
        </w:trPr>
        <w:tc>
          <w:tcPr>
            <w:tcW w:type="dxa" w:w="1800"/>
            <w:vAlign w:val="top"/>
          </w:tcPr>
          <w:p>
            <w:pPr>
              <w:spacing w:after="40"/>
            </w:pPr>
            <w:r>
              <w:rPr>
                <w:rFonts w:ascii="Aptos" w:hAnsi="Aptos"/>
                <w:color w:val="10243E"/>
                <w:sz w:val="16"/>
              </w:rPr>
              <w:t>Safety</w:t>
            </w:r>
          </w:p>
        </w:tc>
        <w:tc>
          <w:tcPr>
            <w:tcW w:type="dxa" w:w="8280"/>
            <w:vAlign w:val="top"/>
          </w:tcPr>
          <w:p>
            <w:pPr>
              <w:spacing w:after="40"/>
            </w:pPr>
            <w:r>
              <w:rPr>
                <w:rFonts w:ascii="Aptos" w:hAnsi="Aptos"/>
                <w:color w:val="10243E"/>
                <w:sz w:val="16"/>
              </w:rPr>
              <w:t>Use only the supplied mock data and the named training environment. Stop if the target or scope differs.</w:t>
            </w:r>
          </w:p>
        </w:tc>
      </w:tr>
    </w:tbl>
    <w:p>
      <w:r>
        <w:rPr>
          <w:b/>
        </w:rPr>
        <w:t xml:space="preserve">Open tool: </w:t>
      </w:r>
      <w:hyperlink r:id="rId31">
        <w:r>
          <w:rPr>
            <w:color w:val="176B87"/>
            <w:u w:val="single"/>
          </w:rPr>
          <w:t>https://alfredang.github.io/regexgenerator/</w:t>
        </w:r>
      </w:hyperlink>
    </w:p>
    <w:p>
      <w:pPr>
        <w:pStyle w:val="Heading3"/>
      </w:pPr>
      <w:r>
        <w:t>Procedure</w:t>
      </w:r>
    </w:p>
    <w:p>
      <w:pPr>
        <w:pStyle w:val="ListNumber"/>
        <w:numPr>
          <w:ilvl w:val="0"/>
          <w:numId w:val="18"/>
        </w:numPr>
      </w:pPr>
      <w:r>
        <w:t>Read the detection requirements and label the supplied log lines as expected match or expected non-match.</w:t>
      </w:r>
    </w:p>
    <w:p>
      <w:pPr>
        <w:pStyle w:val="ListNumber"/>
        <w:numPr>
          <w:ilvl w:val="0"/>
          <w:numId w:val="18"/>
        </w:numPr>
      </w:pPr>
      <w:r>
        <w:t>Use Regex Generator to build a pattern for failed-login lines while capturing timestamp, username and source IP.</w:t>
      </w:r>
    </w:p>
    <w:p>
      <w:pPr>
        <w:pStyle w:val="ListNumber"/>
        <w:numPr>
          <w:ilvl w:val="0"/>
          <w:numId w:val="18"/>
        </w:numPr>
      </w:pPr>
      <w:r>
        <w:t>Test every line and calculate true positives, false positives and false negatives.</w:t>
      </w:r>
    </w:p>
    <w:p>
      <w:pPr>
        <w:pStyle w:val="ListNumber"/>
        <w:numPr>
          <w:ilvl w:val="0"/>
          <w:numId w:val="18"/>
        </w:numPr>
      </w:pPr>
      <w:r>
        <w:t>Refine the expression to reduce noise without excluding the malicious samples.</w:t>
      </w:r>
    </w:p>
    <w:p>
      <w:pPr>
        <w:pStyle w:val="ListNumber"/>
        <w:numPr>
          <w:ilvl w:val="0"/>
          <w:numId w:val="18"/>
        </w:numPr>
      </w:pPr>
      <w:r>
        <w:t>Define a threshold and time window for escalation; explain the cost of a threshold that is too low or too high.</w:t>
      </w:r>
    </w:p>
    <w:p>
      <w:pPr>
        <w:pStyle w:val="ListNumber"/>
        <w:numPr>
          <w:ilvl w:val="0"/>
          <w:numId w:val="18"/>
        </w:numPr>
      </w:pPr>
      <w:r>
        <w:t>Document the rule purpose, assumptions, limitations, owner and review date.</w:t>
      </w:r>
    </w:p>
    <w:p>
      <w:pPr>
        <w:pStyle w:val="Heading3"/>
      </w:pPr>
      <w:r>
        <w:t>Evidence and acceptance criteria</w:t>
      </w:r>
    </w:p>
    <w:p>
      <w:pPr>
        <w:pStyle w:val="ListBullet"/>
      </w:pPr>
      <w:r>
        <w:t>Tested regex — complete, legible, based only on mock data, and traceable to the decision made.</w:t>
      </w:r>
    </w:p>
    <w:p>
      <w:pPr>
        <w:pStyle w:val="ListBullet"/>
      </w:pPr>
      <w:r>
        <w:t>Confusion matrix — complete, legible, based only on mock data, and traceable to the decision made.</w:t>
      </w:r>
    </w:p>
    <w:p>
      <w:pPr>
        <w:pStyle w:val="ListBullet"/>
      </w:pPr>
      <w:r>
        <w:t>Threshold decision — complete, legible, based only on mock data, and traceable to the decision made.</w:t>
      </w:r>
    </w:p>
    <w:p>
      <w:pPr>
        <w:pStyle w:val="ListBullet"/>
      </w:pPr>
      <w:r>
        <w:t>Rule documentation — complete, legible, based only on mock data, and traceable to the decision made.</w:t>
      </w:r>
    </w:p>
    <w:p>
      <w:pPr>
        <w:pStyle w:val="ListBullet"/>
      </w:pPr>
      <w:r>
        <w:t>Escalation criteria — complete, legible, based only on mock data, and traceable to the decision made.</w:t>
      </w:r>
    </w:p>
    <w:p>
      <w:pPr>
        <w:pStyle w:val="Callout"/>
      </w:pPr>
      <w:r>
        <w:t>Reflection: What evidence would make you reverse your decision, and who would need to know?</w:t>
      </w:r>
    </w:p>
    <w:p>
      <w:pPr>
        <w:pStyle w:val="Heading2"/>
      </w:pPr>
      <w:r>
        <w:t>Lab-10: Integrated Incident Response and Escalation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0B2545"/>
            <w:vAlign w:val="center"/>
          </w:tcPr>
          <w:p>
            <w:r>
              <w:rPr>
                <w:b/>
                <w:color w:val="FFFFFF"/>
                <w:sz w:val="16"/>
              </w:rPr>
              <w:t>Field</w:t>
            </w:r>
          </w:p>
        </w:tc>
        <w:tc>
          <w:tcPr>
            <w:tcW w:type="dxa" w:w="8280"/>
            <w:shd w:fill="0B2545"/>
            <w:vAlign w:val="center"/>
          </w:tcPr>
          <w:p>
            <w:r>
              <w:rPr>
                <w:b/>
                <w:color w:val="FFFFFF"/>
                <w:sz w:val="16"/>
              </w:rPr>
              <w:t>Detail</w:t>
            </w:r>
          </w:p>
        </w:tc>
      </w:tr>
      <w:tr>
        <w:trPr>
          <w:cantSplit/>
        </w:trPr>
        <w:tc>
          <w:tcPr>
            <w:tcW w:type="dxa" w:w="1800"/>
            <w:vAlign w:val="top"/>
          </w:tcPr>
          <w:p>
            <w:pPr>
              <w:spacing w:after="40"/>
            </w:pPr>
            <w:r>
              <w:rPr>
                <w:rFonts w:ascii="Aptos" w:hAnsi="Aptos"/>
                <w:color w:val="10243E"/>
                <w:sz w:val="16"/>
              </w:rPr>
              <w:t>Time</w:t>
            </w:r>
          </w:p>
        </w:tc>
        <w:tc>
          <w:tcPr>
            <w:tcW w:type="dxa" w:w="8280"/>
            <w:vAlign w:val="top"/>
          </w:tcPr>
          <w:p>
            <w:pPr>
              <w:spacing w:after="40"/>
            </w:pPr>
            <w:r>
              <w:rPr>
                <w:rFonts w:ascii="Aptos" w:hAnsi="Aptos"/>
                <w:color w:val="10243E"/>
                <w:sz w:val="16"/>
              </w:rPr>
              <w:t>45 minutes</w:t>
            </w:r>
          </w:p>
        </w:tc>
      </w:tr>
      <w:tr>
        <w:trPr>
          <w:cantSplit/>
        </w:trPr>
        <w:tc>
          <w:tcPr>
            <w:tcW w:type="dxa" w:w="1800"/>
            <w:vAlign w:val="top"/>
          </w:tcPr>
          <w:p>
            <w:pPr>
              <w:spacing w:after="40"/>
            </w:pPr>
            <w:r>
              <w:rPr>
                <w:rFonts w:ascii="Aptos" w:hAnsi="Aptos"/>
                <w:color w:val="10243E"/>
                <w:sz w:val="16"/>
              </w:rPr>
              <w:t>Alignment</w:t>
            </w:r>
          </w:p>
        </w:tc>
        <w:tc>
          <w:tcPr>
            <w:tcW w:type="dxa" w:w="8280"/>
            <w:vAlign w:val="top"/>
          </w:tcPr>
          <w:p>
            <w:pPr>
              <w:spacing w:after="40"/>
            </w:pPr>
            <w:r>
              <w:rPr>
                <w:rFonts w:ascii="Aptos" w:hAnsi="Aptos"/>
                <w:color w:val="10243E"/>
                <w:sz w:val="16"/>
              </w:rPr>
              <w:t>LO1–LO3</w:t>
            </w:r>
          </w:p>
        </w:tc>
      </w:tr>
      <w:tr>
        <w:trPr>
          <w:cantSplit/>
        </w:trPr>
        <w:tc>
          <w:tcPr>
            <w:tcW w:type="dxa" w:w="1800"/>
            <w:vAlign w:val="top"/>
          </w:tcPr>
          <w:p>
            <w:pPr>
              <w:spacing w:after="40"/>
            </w:pPr>
            <w:r>
              <w:rPr>
                <w:rFonts w:ascii="Aptos" w:hAnsi="Aptos"/>
                <w:color w:val="10243E"/>
                <w:sz w:val="16"/>
              </w:rPr>
              <w:t>Tool</w:t>
            </w:r>
          </w:p>
        </w:tc>
        <w:tc>
          <w:tcPr>
            <w:tcW w:type="dxa" w:w="8280"/>
            <w:vAlign w:val="top"/>
          </w:tcPr>
          <w:p>
            <w:pPr>
              <w:spacing w:after="40"/>
            </w:pPr>
            <w:r>
              <w:rPr>
                <w:rFonts w:ascii="Aptos" w:hAnsi="Aptos"/>
                <w:color w:val="10243E"/>
                <w:sz w:val="16"/>
              </w:rPr>
              <w:t>Integrated toolkit</w:t>
            </w:r>
          </w:p>
        </w:tc>
      </w:tr>
      <w:tr>
        <w:trPr>
          <w:cantSplit/>
        </w:trPr>
        <w:tc>
          <w:tcPr>
            <w:tcW w:type="dxa" w:w="1800"/>
            <w:vAlign w:val="top"/>
          </w:tcPr>
          <w:p>
            <w:pPr>
              <w:spacing w:after="40"/>
            </w:pPr>
            <w:r>
              <w:rPr>
                <w:rFonts w:ascii="Aptos" w:hAnsi="Aptos"/>
                <w:color w:val="10243E"/>
                <w:sz w:val="16"/>
              </w:rPr>
              <w:t>Scenario</w:t>
            </w:r>
          </w:p>
        </w:tc>
        <w:tc>
          <w:tcPr>
            <w:tcW w:type="dxa" w:w="8280"/>
            <w:vAlign w:val="top"/>
          </w:tcPr>
          <w:p>
            <w:pPr>
              <w:spacing w:after="40"/>
            </w:pPr>
            <w:r>
              <w:rPr>
                <w:rFonts w:ascii="Aptos" w:hAnsi="Aptos"/>
                <w:color w:val="10243E"/>
                <w:sz w:val="16"/>
              </w:rPr>
              <w:t>A supplier-payment email, endpoint alert and suspicious network connection may form one business-impacting incident.</w:t>
            </w:r>
          </w:p>
        </w:tc>
      </w:tr>
      <w:tr>
        <w:trPr>
          <w:cantSplit/>
        </w:trPr>
        <w:tc>
          <w:tcPr>
            <w:tcW w:type="dxa" w:w="1800"/>
            <w:vAlign w:val="top"/>
          </w:tcPr>
          <w:p>
            <w:pPr>
              <w:spacing w:after="40"/>
            </w:pPr>
            <w:r>
              <w:rPr>
                <w:rFonts w:ascii="Aptos" w:hAnsi="Aptos"/>
                <w:color w:val="10243E"/>
                <w:sz w:val="16"/>
              </w:rPr>
              <w:t>Mock data</w:t>
            </w:r>
          </w:p>
        </w:tc>
        <w:tc>
          <w:tcPr>
            <w:tcW w:type="dxa" w:w="8280"/>
            <w:vAlign w:val="top"/>
          </w:tcPr>
          <w:p>
            <w:pPr>
              <w:spacing w:after="40"/>
            </w:pPr>
            <w:r>
              <w:rPr>
                <w:rFonts w:ascii="Aptos" w:hAnsi="Aptos"/>
                <w:color w:val="10243E"/>
                <w:sz w:val="16"/>
              </w:rPr>
              <w:t>mock-incident-brief.md, mock-timeline.csv, mock-escalation-contacts.csv, mock-risk-register.csv</w:t>
            </w:r>
          </w:p>
        </w:tc>
      </w:tr>
      <w:tr>
        <w:trPr>
          <w:cantSplit/>
        </w:trPr>
        <w:tc>
          <w:tcPr>
            <w:tcW w:type="dxa" w:w="1800"/>
            <w:vAlign w:val="top"/>
          </w:tcPr>
          <w:p>
            <w:pPr>
              <w:spacing w:after="40"/>
            </w:pPr>
            <w:r>
              <w:rPr>
                <w:rFonts w:ascii="Aptos" w:hAnsi="Aptos"/>
                <w:color w:val="10243E"/>
                <w:sz w:val="16"/>
              </w:rPr>
              <w:t>Safety</w:t>
            </w:r>
          </w:p>
        </w:tc>
        <w:tc>
          <w:tcPr>
            <w:tcW w:type="dxa" w:w="8280"/>
            <w:vAlign w:val="top"/>
          </w:tcPr>
          <w:p>
            <w:pPr>
              <w:spacing w:after="40"/>
            </w:pPr>
            <w:r>
              <w:rPr>
                <w:rFonts w:ascii="Aptos" w:hAnsi="Aptos"/>
                <w:color w:val="10243E"/>
                <w:sz w:val="16"/>
              </w:rPr>
              <w:t>Use only the supplied mock data and the named training environment. Stop if the target or scope differs.</w:t>
            </w:r>
          </w:p>
        </w:tc>
      </w:tr>
    </w:tbl>
    <w:p>
      <w:r>
        <w:rPr>
          <w:b/>
        </w:rPr>
        <w:t xml:space="preserve">Open tool: </w:t>
      </w:r>
      <w:hyperlink r:id="rId30">
        <w:r>
          <w:rPr>
            <w:color w:val="176B87"/>
            <w:u w:val="single"/>
          </w:rPr>
          <w:t>https://alfredang.github.io/cybersecuritysimulator/</w:t>
        </w:r>
      </w:hyperlink>
    </w:p>
    <w:p>
      <w:pPr>
        <w:pStyle w:val="Heading3"/>
      </w:pPr>
      <w:r>
        <w:t>Procedure</w:t>
      </w:r>
    </w:p>
    <w:p>
      <w:pPr>
        <w:pStyle w:val="ListNumber"/>
        <w:numPr>
          <w:ilvl w:val="0"/>
          <w:numId w:val="19"/>
        </w:numPr>
      </w:pPr>
      <w:r>
        <w:t>Read the incident brief and assign roles: incident lead, evidence recorder, communications lead and business owner.</w:t>
      </w:r>
    </w:p>
    <w:p>
      <w:pPr>
        <w:pStyle w:val="ListNumber"/>
        <w:numPr>
          <w:ilvl w:val="0"/>
          <w:numId w:val="19"/>
        </w:numPr>
      </w:pPr>
      <w:r>
        <w:t>Correlate email, endpoint, identity and network events into one timeline; state which events are facts and which are hypotheses.</w:t>
      </w:r>
    </w:p>
    <w:p>
      <w:pPr>
        <w:pStyle w:val="ListNumber"/>
        <w:numPr>
          <w:ilvl w:val="0"/>
          <w:numId w:val="19"/>
        </w:numPr>
      </w:pPr>
      <w:r>
        <w:t>Assess impact to confidentiality, integrity, availability, safety, finance, reputation and legal obligations.</w:t>
      </w:r>
    </w:p>
    <w:p>
      <w:pPr>
        <w:pStyle w:val="ListNumber"/>
        <w:numPr>
          <w:ilvl w:val="0"/>
          <w:numId w:val="19"/>
        </w:numPr>
      </w:pPr>
      <w:r>
        <w:t>Choose immediate actions that are reversible, evidence-preserving and proportionate to business risk.</w:t>
      </w:r>
    </w:p>
    <w:p>
      <w:pPr>
        <w:pStyle w:val="ListNumber"/>
        <w:numPr>
          <w:ilvl w:val="0"/>
          <w:numId w:val="19"/>
        </w:numPr>
      </w:pPr>
      <w:r>
        <w:t>Use the contact matrix to escalate to the correct internal and external parties; do not contact real organisations during the exercise.</w:t>
      </w:r>
    </w:p>
    <w:p>
      <w:pPr>
        <w:pStyle w:val="ListNumber"/>
        <w:numPr>
          <w:ilvl w:val="0"/>
          <w:numId w:val="19"/>
        </w:numPr>
      </w:pPr>
      <w:r>
        <w:t>Deliver a three-minute incident briefing: situation, evidence, impact, actions, decisions required and next update time.</w:t>
      </w:r>
    </w:p>
    <w:p>
      <w:pPr>
        <w:pStyle w:val="ListNumber"/>
        <w:numPr>
          <w:ilvl w:val="0"/>
          <w:numId w:val="19"/>
        </w:numPr>
      </w:pPr>
      <w:r>
        <w:t>Complete the mock risk register and one after-action improvement with owner and due date.</w:t>
      </w:r>
    </w:p>
    <w:p>
      <w:pPr>
        <w:pStyle w:val="Heading3"/>
      </w:pPr>
      <w:r>
        <w:t>Evidence and acceptance criteria</w:t>
      </w:r>
    </w:p>
    <w:p>
      <w:pPr>
        <w:pStyle w:val="ListBullet"/>
      </w:pPr>
      <w:r>
        <w:t>Correlated timeline — complete, legible, based only on mock data, and traceable to the decision made.</w:t>
      </w:r>
    </w:p>
    <w:p>
      <w:pPr>
        <w:pStyle w:val="ListBullet"/>
      </w:pPr>
      <w:r>
        <w:t>CIA and business-impact assessment — complete, legible, based only on mock data, and traceable to the decision made.</w:t>
      </w:r>
    </w:p>
    <w:p>
      <w:pPr>
        <w:pStyle w:val="ListBullet"/>
      </w:pPr>
      <w:r>
        <w:t>Decision log — complete, legible, based only on mock data, and traceable to the decision made.</w:t>
      </w:r>
    </w:p>
    <w:p>
      <w:pPr>
        <w:pStyle w:val="ListBullet"/>
      </w:pPr>
      <w:r>
        <w:t>Escalation record — complete, legible, based only on mock data, and traceable to the decision made.</w:t>
      </w:r>
    </w:p>
    <w:p>
      <w:pPr>
        <w:pStyle w:val="ListBullet"/>
      </w:pPr>
      <w:r>
        <w:t>Three-minute briefing — complete, legible, based only on mock data, and traceable to the decision made.</w:t>
      </w:r>
    </w:p>
    <w:p>
      <w:pPr>
        <w:pStyle w:val="ListBullet"/>
      </w:pPr>
      <w:r>
        <w:t>After-action improvement — complete, legible, based only on mock data, and traceable to the decision made.</w:t>
      </w:r>
    </w:p>
    <w:p>
      <w:pPr>
        <w:pStyle w:val="Callout"/>
      </w:pPr>
      <w:r>
        <w:t>Reflection: What evidence would make you reverse your decision, and who would need to know?</w:t>
      </w:r>
    </w:p>
    <w:p>
      <w:pPr>
        <w:pStyle w:val="Heading1"/>
      </w:pPr>
      <w:r>
        <w:t>30-day transfer plan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440"/>
            <w:shd w:fill="0B2545"/>
            <w:vAlign w:val="center"/>
          </w:tcPr>
          <w:p>
            <w:r>
              <w:rPr>
                <w:b/>
                <w:color w:val="FFFFFF"/>
                <w:sz w:val="16"/>
              </w:rPr>
              <w:t>When</w:t>
            </w:r>
          </w:p>
        </w:tc>
        <w:tc>
          <w:tcPr>
            <w:tcW w:type="dxa" w:w="4752"/>
            <w:shd w:fill="0B2545"/>
            <w:vAlign w:val="center"/>
          </w:tcPr>
          <w:p>
            <w:r>
              <w:rPr>
                <w:b/>
                <w:color w:val="FFFFFF"/>
                <w:sz w:val="16"/>
              </w:rPr>
              <w:t>Action</w:t>
            </w:r>
          </w:p>
        </w:tc>
        <w:tc>
          <w:tcPr>
            <w:tcW w:type="dxa" w:w="1728"/>
            <w:shd w:fill="0B2545"/>
            <w:vAlign w:val="center"/>
          </w:tcPr>
          <w:p>
            <w:r>
              <w:rPr>
                <w:b/>
                <w:color w:val="FFFFFF"/>
                <w:sz w:val="16"/>
              </w:rPr>
              <w:t>Owner</w:t>
            </w:r>
          </w:p>
        </w:tc>
        <w:tc>
          <w:tcPr>
            <w:tcW w:type="dxa" w:w="2160"/>
            <w:shd w:fill="0B2545"/>
            <w:vAlign w:val="center"/>
          </w:tcPr>
          <w:p>
            <w:r>
              <w:rPr>
                <w:b/>
                <w:color w:val="FFFFFF"/>
                <w:sz w:val="16"/>
              </w:rPr>
              <w:t>Evidence</w:t>
            </w:r>
          </w:p>
        </w:tc>
      </w:tr>
      <w:tr>
        <w:trPr>
          <w:cantSplit/>
        </w:trPr>
        <w:tc>
          <w:tcPr>
            <w:tcW w:type="dxa" w:w="1440"/>
            <w:vAlign w:val="top"/>
          </w:tcPr>
          <w:p>
            <w:pPr>
              <w:spacing w:after="40"/>
            </w:pPr>
            <w:r>
              <w:rPr>
                <w:rFonts w:ascii="Aptos" w:hAnsi="Aptos"/>
                <w:color w:val="10243E"/>
                <w:sz w:val="16"/>
              </w:rPr>
              <w:t>24 hours</w:t>
            </w:r>
          </w:p>
        </w:tc>
        <w:tc>
          <w:tcPr>
            <w:tcW w:type="dxa" w:w="4752"/>
            <w:vAlign w:val="top"/>
          </w:tcPr>
          <w:p>
            <w:pPr>
              <w:spacing w:after="40"/>
            </w:pPr>
            <w:r>
              <w:rPr>
                <w:rFonts w:ascii="Aptos" w:hAnsi="Aptos"/>
                <w:color w:val="10243E"/>
                <w:sz w:val="16"/>
              </w:rPr>
              <w:t>Enable MFA on priority accounts; confirm incident contacts; test one restore</w:t>
            </w:r>
          </w:p>
        </w:tc>
        <w:tc>
          <w:tcPr>
            <w:tcW w:type="dxa" w:w="1728"/>
            <w:vAlign w:val="top"/>
          </w:tcPr>
          <w:p>
            <w:pPr>
              <w:spacing w:after="40"/>
            </w:pPr>
            <w:r>
              <w:rPr>
                <w:rFonts w:ascii="Aptos" w:hAnsi="Aptos"/>
                <w:color w:val="10243E"/>
                <w:sz w:val="16"/>
              </w:rPr>
            </w:r>
          </w:p>
        </w:tc>
        <w:tc>
          <w:tcPr>
            <w:tcW w:type="dxa" w:w="2160"/>
            <w:vAlign w:val="top"/>
          </w:tcPr>
          <w:p>
            <w:pPr>
              <w:spacing w:after="40"/>
            </w:pPr>
            <w:r>
              <w:rPr>
                <w:rFonts w:ascii="Aptos" w:hAnsi="Aptos"/>
                <w:color w:val="10243E"/>
                <w:sz w:val="16"/>
              </w:rPr>
            </w:r>
          </w:p>
        </w:tc>
      </w:tr>
      <w:tr>
        <w:trPr>
          <w:cantSplit/>
        </w:trPr>
        <w:tc>
          <w:tcPr>
            <w:tcW w:type="dxa" w:w="1440"/>
            <w:vAlign w:val="top"/>
          </w:tcPr>
          <w:p>
            <w:pPr>
              <w:spacing w:after="40"/>
            </w:pPr>
            <w:r>
              <w:rPr>
                <w:rFonts w:ascii="Aptos" w:hAnsi="Aptos"/>
                <w:color w:val="10243E"/>
                <w:sz w:val="16"/>
              </w:rPr>
              <w:t>7 days</w:t>
            </w:r>
          </w:p>
        </w:tc>
        <w:tc>
          <w:tcPr>
            <w:tcW w:type="dxa" w:w="4752"/>
            <w:vAlign w:val="top"/>
          </w:tcPr>
          <w:p>
            <w:pPr>
              <w:spacing w:after="40"/>
            </w:pPr>
            <w:r>
              <w:rPr>
                <w:rFonts w:ascii="Aptos" w:hAnsi="Aptos"/>
                <w:color w:val="10243E"/>
                <w:sz w:val="16"/>
              </w:rPr>
              <w:t>Remove dormant access; patch exposed assets; verify payment-change procedure</w:t>
            </w:r>
          </w:p>
        </w:tc>
        <w:tc>
          <w:tcPr>
            <w:tcW w:type="dxa" w:w="1728"/>
            <w:vAlign w:val="top"/>
          </w:tcPr>
          <w:p>
            <w:pPr>
              <w:spacing w:after="40"/>
            </w:pPr>
            <w:r>
              <w:rPr>
                <w:rFonts w:ascii="Aptos" w:hAnsi="Aptos"/>
                <w:color w:val="10243E"/>
                <w:sz w:val="16"/>
              </w:rPr>
            </w:r>
          </w:p>
        </w:tc>
        <w:tc>
          <w:tcPr>
            <w:tcW w:type="dxa" w:w="2160"/>
            <w:vAlign w:val="top"/>
          </w:tcPr>
          <w:p>
            <w:pPr>
              <w:spacing w:after="40"/>
            </w:pPr>
            <w:r>
              <w:rPr>
                <w:rFonts w:ascii="Aptos" w:hAnsi="Aptos"/>
                <w:color w:val="10243E"/>
                <w:sz w:val="16"/>
              </w:rPr>
            </w:r>
          </w:p>
        </w:tc>
      </w:tr>
      <w:tr>
        <w:trPr>
          <w:cantSplit/>
        </w:trPr>
        <w:tc>
          <w:tcPr>
            <w:tcW w:type="dxa" w:w="1440"/>
            <w:vAlign w:val="top"/>
          </w:tcPr>
          <w:p>
            <w:pPr>
              <w:spacing w:after="40"/>
            </w:pPr>
            <w:r>
              <w:rPr>
                <w:rFonts w:ascii="Aptos" w:hAnsi="Aptos"/>
                <w:color w:val="10243E"/>
                <w:sz w:val="16"/>
              </w:rPr>
              <w:t>30 days</w:t>
            </w:r>
          </w:p>
        </w:tc>
        <w:tc>
          <w:tcPr>
            <w:tcW w:type="dxa" w:w="4752"/>
            <w:vAlign w:val="top"/>
          </w:tcPr>
          <w:p>
            <w:pPr>
              <w:spacing w:after="40"/>
            </w:pPr>
            <w:r>
              <w:rPr>
                <w:rFonts w:ascii="Aptos" w:hAnsi="Aptos"/>
                <w:color w:val="10243E"/>
                <w:sz w:val="16"/>
              </w:rPr>
              <w:t>Run a tabletop exercise; review suppliers; close top three risks</w:t>
            </w:r>
          </w:p>
        </w:tc>
        <w:tc>
          <w:tcPr>
            <w:tcW w:type="dxa" w:w="1728"/>
            <w:vAlign w:val="top"/>
          </w:tcPr>
          <w:p>
            <w:pPr>
              <w:spacing w:after="40"/>
            </w:pPr>
            <w:r>
              <w:rPr>
                <w:rFonts w:ascii="Aptos" w:hAnsi="Aptos"/>
                <w:color w:val="10243E"/>
                <w:sz w:val="16"/>
              </w:rPr>
            </w:r>
          </w:p>
        </w:tc>
        <w:tc>
          <w:tcPr>
            <w:tcW w:type="dxa" w:w="2160"/>
            <w:vAlign w:val="top"/>
          </w:tcPr>
          <w:p>
            <w:pPr>
              <w:spacing w:after="40"/>
            </w:pPr>
            <w:r>
              <w:rPr>
                <w:rFonts w:ascii="Aptos" w:hAnsi="Aptos"/>
                <w:color w:val="10243E"/>
                <w:sz w:val="16"/>
              </w:rPr>
            </w:r>
          </w:p>
        </w:tc>
      </w:tr>
    </w:tbl>
    <w:p>
      <w:pPr>
        <w:pStyle w:val="Heading1"/>
      </w:pPr>
      <w:r>
        <w:t>Source register</w:t>
      </w:r>
    </w:p>
    <w:p>
      <w:r>
        <w:rPr>
          <w:b/>
        </w:rPr>
        <w:t xml:space="preserve">IBM — Cybersecurity overview: </w:t>
      </w:r>
      <w:hyperlink r:id="rId37">
        <w:r>
          <w:rPr>
            <w:color w:val="176B87"/>
            <w:u w:val="single"/>
          </w:rPr>
          <w:t>https://www.ibm.com/think/topics/cybersecurity</w:t>
        </w:r>
      </w:hyperlink>
    </w:p>
    <w:p>
      <w:r>
        <w:rPr>
          <w:b/>
        </w:rPr>
        <w:t xml:space="preserve">Cisco — What is cybersecurity?: </w:t>
      </w:r>
      <w:hyperlink r:id="rId38">
        <w:r>
          <w:rPr>
            <w:color w:val="176B87"/>
            <w:u w:val="single"/>
          </w:rPr>
          <w:t>https://www.cisco.com/site/us/en/learn/topics/security/what-is-cybersecurity.html</w:t>
        </w:r>
      </w:hyperlink>
    </w:p>
    <w:p>
      <w:r>
        <w:rPr>
          <w:b/>
        </w:rPr>
        <w:t xml:space="preserve">Microsoft — What is cybersecurity?: </w:t>
      </w:r>
      <w:hyperlink r:id="rId39">
        <w:r>
          <w:rPr>
            <w:color w:val="176B87"/>
            <w:u w:val="single"/>
          </w:rPr>
          <w:t>https://www.microsoft.com/en-us/security/business/security-101/what-is-cybersecurity</w:t>
        </w:r>
      </w:hyperlink>
    </w:p>
    <w:p>
      <w:r>
        <w:rPr>
          <w:b/>
        </w:rPr>
        <w:t xml:space="preserve">Kaspersky — Cybersecurity definition: </w:t>
      </w:r>
      <w:hyperlink r:id="rId40">
        <w:r>
          <w:rPr>
            <w:color w:val="176B87"/>
            <w:u w:val="single"/>
          </w:rPr>
          <w:t>https://www.kaspersky.com/resource-center/definitions/what-is-cyber-security</w:t>
        </w:r>
      </w:hyperlink>
    </w:p>
    <w:p>
      <w:r>
        <w:rPr>
          <w:b/>
        </w:rPr>
        <w:t xml:space="preserve">Fortinet — Cybersecurity glossary: </w:t>
      </w:r>
      <w:hyperlink r:id="rId41">
        <w:r>
          <w:rPr>
            <w:color w:val="176B87"/>
            <w:u w:val="single"/>
          </w:rPr>
          <w:t>https://www.fortinet.com/resources/cyberglossary/what-is-cybersecurity</w:t>
        </w:r>
      </w:hyperlink>
    </w:p>
    <w:p>
      <w:r>
        <w:rPr>
          <w:b/>
        </w:rPr>
        <w:t xml:space="preserve">Check Point — What is cybersecurity?: </w:t>
      </w:r>
      <w:hyperlink r:id="rId42">
        <w:r>
          <w:rPr>
            <w:color w:val="176B87"/>
            <w:u w:val="single"/>
          </w:rPr>
          <w:t>https://www.checkpoint.com/cyber-hub/cyber-security/what-is-cybersecurity/</w:t>
        </w:r>
      </w:hyperlink>
    </w:p>
    <w:p>
      <w:r>
        <w:rPr>
          <w:b/>
        </w:rPr>
        <w:t xml:space="preserve">CSA Singapore — Cybersecurity guidance: </w:t>
      </w:r>
      <w:hyperlink r:id="rId43">
        <w:r>
          <w:rPr>
            <w:color w:val="176B87"/>
            <w:u w:val="single"/>
          </w:rPr>
          <w:t>https://www.csa.gov.sg/</w:t>
        </w:r>
      </w:hyperlink>
    </w:p>
    <w:p>
      <w:r>
        <w:rPr>
          <w:b/>
        </w:rPr>
        <w:t xml:space="preserve">NCSC — Understanding vulnerabilities: </w:t>
      </w:r>
      <w:hyperlink r:id="rId12">
        <w:r>
          <w:rPr>
            <w:color w:val="176B87"/>
            <w:u w:val="single"/>
          </w:rPr>
          <w:t>https://www.ncsc.gov.uk/collection/vulnerability-management/understanding-vulnerabilities</w:t>
        </w:r>
      </w:hyperlink>
    </w:p>
    <w:p>
      <w:r>
        <w:rPr>
          <w:b/>
        </w:rPr>
        <w:t xml:space="preserve">OWASP — Vulnerabilities and SQL injection: </w:t>
      </w:r>
      <w:hyperlink r:id="rId44">
        <w:r>
          <w:rPr>
            <w:color w:val="176B87"/>
            <w:u w:val="single"/>
          </w:rPr>
          <w:t>https://owasp.org/www-community/vulnerabilities/</w:t>
        </w:r>
      </w:hyperlink>
    </w:p>
    <w:p>
      <w:r>
        <w:rPr>
          <w:b/>
        </w:rPr>
        <w:t xml:space="preserve">CrowdStrike — Types of malware: </w:t>
      </w:r>
      <w:hyperlink r:id="rId13">
        <w:r>
          <w:rPr>
            <w:color w:val="176B87"/>
            <w:u w:val="single"/>
          </w:rPr>
          <w:t>https://www.crowdstrike.com/en-us/cybersecurity-101/malware/types-of-malware/</w:t>
        </w:r>
      </w:hyperlink>
    </w:p>
    <w:p>
      <w:r>
        <w:rPr>
          <w:b/>
        </w:rPr>
        <w:t xml:space="preserve">CISA — Real-world case studies: </w:t>
      </w:r>
      <w:hyperlink r:id="rId45">
        <w:r>
          <w:rPr>
            <w:color w:val="176B87"/>
            <w:u w:val="single"/>
          </w:rPr>
          <w:t>https://www.cisa.gov/real-world-case-studies</w:t>
        </w:r>
      </w:hyperlink>
    </w:p>
    <w:p>
      <w:r>
        <w:rPr>
          <w:b/>
        </w:rPr>
        <w:t xml:space="preserve">Singapore Police Force — Annual Scam and Cybercrime Brief 2025: </w:t>
      </w:r>
      <w:hyperlink r:id="rId46">
        <w:r>
          <w:rPr>
            <w:color w:val="176B87"/>
            <w:u w:val="single"/>
          </w:rPr>
          <w:t>https://www.police.gov.sg/-/media/SPF/Media-Room/Statistics/Annual-Scams-and-Cybercrime-Brief-2025/Annual-Scam-and-Cybercrime-Brief-2025.pdf</w:t>
        </w:r>
      </w:hyperlink>
    </w:p>
    <w:p>
      <w:r>
        <w:rPr>
          <w:b/>
        </w:rPr>
        <w:t xml:space="preserve">SingHealth data breach — Ministry of Health Singapore — SingHealth's IT System Target of Cyberattack: </w:t>
      </w:r>
      <w:hyperlink r:id="rId15">
        <w:r>
          <w:rPr>
            <w:color w:val="176B87"/>
            <w:u w:val="single"/>
          </w:rPr>
          <w:t>https://www.moh.gov.sg/newsroom/singhealth%27s-it-system-target-of-cyberattack/</w:t>
        </w:r>
      </w:hyperlink>
    </w:p>
    <w:p>
      <w:r>
        <w:rPr>
          <w:b/>
        </w:rPr>
        <w:t xml:space="preserve">WannaCry and the NHS — UK National Audit Office — Investigation: WannaCry Cyber Attack and the NHS: </w:t>
      </w:r>
      <w:hyperlink r:id="rId16">
        <w:r>
          <w:rPr>
            <w:color w:val="176B87"/>
            <w:u w:val="single"/>
          </w:rPr>
          <w:t>https://www.nao.org.uk/reports/investigation-wannacry-cyber-attack-and-the-nhs/</w:t>
        </w:r>
      </w:hyperlink>
    </w:p>
    <w:p>
      <w:r>
        <w:rPr>
          <w:b/>
        </w:rPr>
        <w:t xml:space="preserve">Equifax breach — U.S. House Committee on Oversight — The Equifax Data Breach: </w:t>
      </w:r>
      <w:hyperlink r:id="rId17">
        <w:r>
          <w:rPr>
            <w:color w:val="176B87"/>
            <w:u w:val="single"/>
          </w:rPr>
          <w:t>https://oversight.house.gov/report/the-equifax-data-breach/</w:t>
        </w:r>
      </w:hyperlink>
    </w:p>
    <w:p>
      <w:r>
        <w:rPr>
          <w:b/>
        </w:rPr>
        <w:t xml:space="preserve">SolarWinds supply-chain compromise — CISA — Active Exploitation of SolarWinds Software: </w:t>
      </w:r>
      <w:hyperlink r:id="rId18">
        <w:r>
          <w:rPr>
            <w:color w:val="176B87"/>
            <w:u w:val="single"/>
          </w:rPr>
          <w:t>https://www.cisa.gov/news-events/alerts/2020/12/13/active-exploitation-solarwinds-software</w:t>
        </w:r>
      </w:hyperlink>
    </w:p>
    <w:p>
      <w:r>
        <w:rPr>
          <w:b/>
        </w:rPr>
        <w:t xml:space="preserve">Colonial Pipeline — CISA — IAM Case Study: Colonial Pipeline: </w:t>
      </w:r>
      <w:hyperlink r:id="rId19">
        <w:r>
          <w:rPr>
            <w:color w:val="176B87"/>
            <w:u w:val="single"/>
          </w:rPr>
          <w:t>https://www.cisa.gov/sites/default/files/2023-12/IAM_EDUCATIONAL_AID_TALKING_POINTS_508C.pdf</w:t>
        </w:r>
      </w:hyperlink>
    </w:p>
    <w:p>
      <w:r>
        <w:rPr>
          <w:b/>
        </w:rPr>
        <w:t xml:space="preserve">Log4Shell exploitation — CISA — Mitigating Log4Shell and Log4j Vulnerabilities: </w:t>
      </w:r>
      <w:hyperlink r:id="rId20">
        <w:r>
          <w:rPr>
            <w:color w:val="176B87"/>
            <w:u w:val="single"/>
          </w:rPr>
          <w:t>https://www.cisa.gov/news-events/cybersecurity-advisories/aa21-356a</w:t>
        </w:r>
      </w:hyperlink>
    </w:p>
    <w:p>
      <w:r>
        <w:rPr>
          <w:b/>
        </w:rPr>
        <w:t xml:space="preserve">MOVEit mass exploitation — CISA — CL0P Exploits MOVEit Vulnerability: </w:t>
      </w:r>
      <w:hyperlink r:id="rId21">
        <w:r>
          <w:rPr>
            <w:color w:val="176B87"/>
            <w:u w:val="single"/>
          </w:rPr>
          <w:t>https://www.cisa.gov/sites/default/files/2023-06/aa23-158a-stopransomware-cl0p-ransomware-gang-exploits-moveit-vulnerability_7.pdf</w:t>
        </w:r>
      </w:hyperlink>
    </w:p>
    <w:p>
      <w:r>
        <w:rPr>
          <w:b/>
        </w:rPr>
        <w:t xml:space="preserve">MGM Resorts cyber incident — U.S. Securities and Exchange Commission — MGM Resorts International Form 8-K: </w:t>
      </w:r>
      <w:hyperlink r:id="rId22">
        <w:r>
          <w:rPr>
            <w:color w:val="176B87"/>
            <w:u w:val="single"/>
          </w:rPr>
          <w:t>https://www.sec.gov/Archives/edgar/data/789570/000119312523251667/d461062d8k.htm</w:t>
        </w:r>
      </w:hyperlink>
    </w:p>
    <w:p>
      <w:r>
        <w:rPr>
          <w:b/>
        </w:rPr>
        <w:t xml:space="preserve">Singapore commodity-trader BEC — Singapore Police Force — Recovery of Over USD 6.6 Million in BEC Case: </w:t>
      </w:r>
      <w:hyperlink r:id="rId14">
        <w:r>
          <w:rPr>
            <w:color w:val="176B87"/>
            <w:u w:val="single"/>
          </w:rPr>
          <w:t>https://www.police.gov.sg/media-hub/news/2026/05/20260505_international_cooperation_leads_to_the_recovery_of_over</w:t>
        </w:r>
      </w:hyperlink>
    </w:p>
    <w:p>
      <w:r>
        <w:rPr>
          <w:b/>
        </w:rPr>
        <w:t xml:space="preserve">Target payment-card breach — U.S. Senate Committee on Commerce — Target's Missed Opportunities to Stop a Data Breach: </w:t>
      </w:r>
      <w:hyperlink r:id="rId23">
        <w:r>
          <w:rPr>
            <w:color w:val="176B87"/>
            <w:u w:val="single"/>
          </w:rPr>
          <w:t>https://www.commerce.senate.gov/press/dem/release/rockefeller-staff-report-details-targets-missed-opportunities-to-stop-massive-data-breach-2014-3/</w:t>
        </w:r>
      </w:hyperlink>
    </w:p>
    <w:p>
      <w:r>
        <w:rPr>
          <w:b/>
        </w:rPr>
        <w:t xml:space="preserve">NotPetya disruption at Maersk — UK Department for Transport — Cyber Security for Ports and Port Systems: </w:t>
      </w:r>
      <w:hyperlink r:id="rId24">
        <w:r>
          <w:rPr>
            <w:color w:val="176B87"/>
            <w:u w:val="single"/>
          </w:rPr>
          <w:t>https://assets.publishing.service.gov.uk/government/uploads/system/uploads/attachment_data/file/546160/cyber-security-for-ports-and-port-systems-code-of-practice.pdf</w:t>
        </w:r>
      </w:hyperlink>
    </w:p>
    <w:p>
      <w:r>
        <w:rPr>
          <w:b/>
        </w:rPr>
        <w:t xml:space="preserve">Marriott Starwood data breach — UK Information Commissioner's Office — Marriott International Monetary Penalty Notice: </w:t>
      </w:r>
      <w:hyperlink r:id="rId25">
        <w:r>
          <w:rPr>
            <w:color w:val="176B87"/>
            <w:u w:val="single"/>
          </w:rPr>
          <w:t>https://ico.org.uk/media/action-weve-taken/mpns/2618524/marriott-international-inc-mpn-20201030.pdf</w:t>
        </w:r>
      </w:hyperlink>
    </w:p>
    <w:p>
      <w:r>
        <w:rPr>
          <w:b/>
        </w:rPr>
        <w:t xml:space="preserve">Capital One cloud data breach — U.S. Department of Justice — Seattle Tech Worker Arrested for Data Theft: </w:t>
      </w:r>
      <w:hyperlink r:id="rId26">
        <w:r>
          <w:rPr>
            <w:color w:val="176B87"/>
            <w:u w:val="single"/>
          </w:rPr>
          <w:t>https://www.justice.gov/usao-wdwa/pr/seattle-tech-worker-arrested-data-theft-involving-large-financial-services-company</w:t>
        </w:r>
      </w:hyperlink>
    </w:p>
    <w:p>
      <w:r>
        <w:rPr>
          <w:b/>
        </w:rPr>
        <w:t xml:space="preserve">Norsk Hydro LockerGoga ransomware — UK National Cyber Security Centre — What Is OT Malware?: </w:t>
      </w:r>
      <w:hyperlink r:id="rId27">
        <w:r>
          <w:rPr>
            <w:color w:val="176B87"/>
            <w:u w:val="single"/>
          </w:rPr>
          <w:t>https://www.ncsc.gov.uk/blog-post/what-is-ot-malware</w:t>
        </w:r>
      </w:hyperlink>
    </w:p>
    <w:p>
      <w:r>
        <w:rPr>
          <w:b/>
        </w:rPr>
        <w:t xml:space="preserve">Change Healthcare cyberattack — U.S. Securities and Exchange Commission — UnitedHealth Group Form 8-K, 21 February 2024: </w:t>
      </w:r>
      <w:hyperlink r:id="rId28">
        <w:r>
          <w:rPr>
            <w:color w:val="176B87"/>
            <w:u w:val="single"/>
          </w:rPr>
          <w:t>https://www.sec.gov/Archives/edgar/data/731766/000073176624000045/unh-20240221.htm</w:t>
        </w:r>
      </w:hyperlink>
    </w:p>
    <w:sectPr w:rsidR="00FC693F" w:rsidRPr="0006063C" w:rsidSect="00034616">
      <w:headerReference w:type="default" r:id="rId9"/>
      <w:footerReference w:type="default" r:id="rId10"/>
      <w:footerReference w:type="first" r:id="rId47"/>
      <w:headerReference w:type="first" r:id="rId48"/>
      <w:pgSz w:w="12240" w:h="15840"/>
      <w:pgMar w:top="1123"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B7A"/>
        <w:sz w:val="15"/>
      </w:rPr>
      <w:t xml:space="preserve">Tertiary Infotech Academy Pte Ltd  •  v1.0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B7A"/>
        <w:sz w:val="15"/>
      </w:rPr>
      <w:t>C506  |  Cyber Security Awareness Workshop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0243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B2545"/>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E7C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0243E"/>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288" w:right="288"/>
    </w:pPr>
    <w:rPr>
      <w:rFonts w:ascii="Aptos" w:hAnsi="Aptos"/>
      <w:b/>
      <w:color w:val="0E7C8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ncsc.gov.uk/collection/vulnerability-management/understanding-vulnerabilities" TargetMode="External"/><Relationship Id="rId13" Type="http://schemas.openxmlformats.org/officeDocument/2006/relationships/hyperlink" Target="https://www.crowdstrike.com/en-us/cybersecurity-101/malware/types-of-malware/" TargetMode="External"/><Relationship Id="rId14" Type="http://schemas.openxmlformats.org/officeDocument/2006/relationships/hyperlink" Target="https://www.police.gov.sg/media-hub/news/2026/05/20260505_international_cooperation_leads_to_the_recovery_of_over" TargetMode="External"/><Relationship Id="rId15" Type="http://schemas.openxmlformats.org/officeDocument/2006/relationships/hyperlink" Target="https://www.moh.gov.sg/newsroom/singhealth%27s-it-system-target-of-cyberattack/" TargetMode="External"/><Relationship Id="rId16" Type="http://schemas.openxmlformats.org/officeDocument/2006/relationships/hyperlink" Target="https://www.nao.org.uk/reports/investigation-wannacry-cyber-attack-and-the-nhs/" TargetMode="External"/><Relationship Id="rId17" Type="http://schemas.openxmlformats.org/officeDocument/2006/relationships/hyperlink" Target="https://oversight.house.gov/report/the-equifax-data-breach/" TargetMode="External"/><Relationship Id="rId18" Type="http://schemas.openxmlformats.org/officeDocument/2006/relationships/hyperlink" Target="https://www.cisa.gov/news-events/alerts/2020/12/13/active-exploitation-solarwinds-software" TargetMode="External"/><Relationship Id="rId19" Type="http://schemas.openxmlformats.org/officeDocument/2006/relationships/hyperlink" Target="https://www.cisa.gov/sites/default/files/2023-12/IAM_EDUCATIONAL_AID_TALKING_POINTS_508C.pdf" TargetMode="External"/><Relationship Id="rId20" Type="http://schemas.openxmlformats.org/officeDocument/2006/relationships/hyperlink" Target="https://www.cisa.gov/news-events/cybersecurity-advisories/aa21-356a" TargetMode="External"/><Relationship Id="rId21" Type="http://schemas.openxmlformats.org/officeDocument/2006/relationships/hyperlink" Target="https://www.cisa.gov/sites/default/files/2023-06/aa23-158a-stopransomware-cl0p-ransomware-gang-exploits-moveit-vulnerability_7.pdf" TargetMode="External"/><Relationship Id="rId22" Type="http://schemas.openxmlformats.org/officeDocument/2006/relationships/hyperlink" Target="https://www.sec.gov/Archives/edgar/data/789570/000119312523251667/d461062d8k.htm" TargetMode="External"/><Relationship Id="rId23" Type="http://schemas.openxmlformats.org/officeDocument/2006/relationships/hyperlink" Target="https://www.commerce.senate.gov/press/dem/release/rockefeller-staff-report-details-targets-missed-opportunities-to-stop-massive-data-breach-2014-3/" TargetMode="External"/><Relationship Id="rId24" Type="http://schemas.openxmlformats.org/officeDocument/2006/relationships/hyperlink" Target="https://assets.publishing.service.gov.uk/government/uploads/system/uploads/attachment_data/file/546160/cyber-security-for-ports-and-port-systems-code-of-practice.pdf" TargetMode="External"/><Relationship Id="rId25" Type="http://schemas.openxmlformats.org/officeDocument/2006/relationships/hyperlink" Target="https://ico.org.uk/media/action-weve-taken/mpns/2618524/marriott-international-inc-mpn-20201030.pdf" TargetMode="External"/><Relationship Id="rId26" Type="http://schemas.openxmlformats.org/officeDocument/2006/relationships/hyperlink" Target="https://www.justice.gov/usao-wdwa/pr/seattle-tech-worker-arrested-data-theft-involving-large-financial-services-company" TargetMode="External"/><Relationship Id="rId27" Type="http://schemas.openxmlformats.org/officeDocument/2006/relationships/hyperlink" Target="https://www.ncsc.gov.uk/blog-post/what-is-ot-malware" TargetMode="External"/><Relationship Id="rId28" Type="http://schemas.openxmlformats.org/officeDocument/2006/relationships/hyperlink" Target="https://www.sec.gov/Archives/edgar/data/731766/000073176624000045/unh-20240221.htm" TargetMode="External"/><Relationship Id="rId29" Type="http://schemas.openxmlformats.org/officeDocument/2006/relationships/hyperlink" Target="https://owasp.org/www-community/attacks/SQL_Injection" TargetMode="External"/><Relationship Id="rId30" Type="http://schemas.openxmlformats.org/officeDocument/2006/relationships/hyperlink" Target="https://alfredang.github.io/cybersecuritysimulator/" TargetMode="External"/><Relationship Id="rId31" Type="http://schemas.openxmlformats.org/officeDocument/2006/relationships/hyperlink" Target="https://alfredang.github.io/regexgenerator/" TargetMode="External"/><Relationship Id="rId32" Type="http://schemas.openxmlformats.org/officeDocument/2006/relationships/hyperlink" Target="https://alfredang.github.io/ethnicalhacking/" TargetMode="External"/><Relationship Id="rId33" Type="http://schemas.openxmlformats.org/officeDocument/2006/relationships/hyperlink" Target="https://pentest-fauxbank.vercel.app/" TargetMode="External"/><Relationship Id="rId34" Type="http://schemas.openxmlformats.org/officeDocument/2006/relationships/hyperlink" Target="https://alfredang.github.io/cryptography-toolkit/" TargetMode="External"/><Relationship Id="rId35" Type="http://schemas.openxmlformats.org/officeDocument/2006/relationships/hyperlink" Target="https://alfredang.github.io/ipcalculator/" TargetMode="External"/><Relationship Id="rId36" Type="http://schemas.openxmlformats.org/officeDocument/2006/relationships/hyperlink" Target="https://alfredang.github.io/pcapanalyzer/" TargetMode="External"/><Relationship Id="rId37" Type="http://schemas.openxmlformats.org/officeDocument/2006/relationships/hyperlink" Target="https://www.ibm.com/think/topics/cybersecurity" TargetMode="External"/><Relationship Id="rId38" Type="http://schemas.openxmlformats.org/officeDocument/2006/relationships/hyperlink" Target="https://www.cisco.com/site/us/en/learn/topics/security/what-is-cybersecurity.html" TargetMode="External"/><Relationship Id="rId39" Type="http://schemas.openxmlformats.org/officeDocument/2006/relationships/hyperlink" Target="https://www.microsoft.com/en-us/security/business/security-101/what-is-cybersecurity" TargetMode="External"/><Relationship Id="rId40" Type="http://schemas.openxmlformats.org/officeDocument/2006/relationships/hyperlink" Target="https://www.kaspersky.com/resource-center/definitions/what-is-cyber-security" TargetMode="External"/><Relationship Id="rId41" Type="http://schemas.openxmlformats.org/officeDocument/2006/relationships/hyperlink" Target="https://www.fortinet.com/resources/cyberglossary/what-is-cybersecurity" TargetMode="External"/><Relationship Id="rId42" Type="http://schemas.openxmlformats.org/officeDocument/2006/relationships/hyperlink" Target="https://www.checkpoint.com/cyber-hub/cyber-security/what-is-cybersecurity/" TargetMode="External"/><Relationship Id="rId43" Type="http://schemas.openxmlformats.org/officeDocument/2006/relationships/hyperlink" Target="https://www.csa.gov.sg/" TargetMode="External"/><Relationship Id="rId44" Type="http://schemas.openxmlformats.org/officeDocument/2006/relationships/hyperlink" Target="https://owasp.org/www-community/vulnerabilities/" TargetMode="External"/><Relationship Id="rId45" Type="http://schemas.openxmlformats.org/officeDocument/2006/relationships/hyperlink" Target="https://www.cisa.gov/real-world-case-studies" TargetMode="External"/><Relationship Id="rId46" Type="http://schemas.openxmlformats.org/officeDocument/2006/relationships/hyperlink" Target="https://www.police.gov.sg/-/media/SPF/Media-Room/Statistics/Annual-Scams-and-Cybercrime-Brief-2025/Annual-Scam-and-Cybercrime-Brief-2025.pdf" TargetMode="External"/><Relationship Id="rId47" Type="http://schemas.openxmlformats.org/officeDocument/2006/relationships/footer" Target="footer2.xml"/><Relationship Id="rId4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