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drawing>
          <wp:inline xmlns:a="http://schemas.openxmlformats.org/drawingml/2006/main" xmlns:pic="http://schemas.openxmlformats.org/drawingml/2006/picture"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60"/>
        <w:jc w:val="center"/>
      </w:pPr>
      <w:r>
        <w:rPr>
          <w:rFonts w:ascii="Aptos" w:hAnsi="Aptos"/>
          <w:b/>
          <w:color w:val="0E7C86"/>
          <w:sz w:val="22"/>
        </w:rPr>
        <w:t>LESSON PLAN</w:t>
      </w:r>
    </w:p>
    <w:p>
      <w:pPr>
        <w:spacing w:before="160"/>
        <w:jc w:val="center"/>
      </w:pPr>
      <w:r>
        <w:rPr>
          <w:rFonts w:ascii="Aptos Display" w:hAnsi="Aptos Display"/>
          <w:b/>
          <w:color w:val="10243E"/>
          <w:sz w:val="56"/>
        </w:rPr>
        <w:t>Cyber Security Awareness Workshop</w:t>
      </w:r>
    </w:p>
    <w:p>
      <w:pPr>
        <w:jc w:val="center"/>
      </w:pPr>
      <w:r>
        <w:rPr>
          <w:rFonts w:ascii="Aptos" w:hAnsi="Aptos"/>
          <w:color w:val="176B87"/>
          <w:sz w:val="26"/>
        </w:rPr>
        <w:t>Facilitator delivery and evidence plan</w:t>
      </w:r>
    </w:p>
    <w:p>
      <w:pPr>
        <w:spacing w:before="560"/>
        <w:jc w:val="center"/>
      </w:pPr>
      <w:r>
        <w:rPr>
          <w:rFonts w:ascii="Aptos" w:hAnsi="Aptos"/>
          <w:color w:val="5F6B7A"/>
          <w:sz w:val="22"/>
        </w:rPr>
        <w:t>Course Code: C506</w:t>
        <w:br/>
        <w:t>Version 1.0  |  1 October 2026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0B2545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848"/>
            <w:shd w:fill="0B2545"/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8"/>
              </w:rPr>
              <w:t>Course</w:t>
            </w:r>
          </w:p>
        </w:tc>
        <w:tc>
          <w:tcPr>
            <w:tcW w:type="dxa" w:w="784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8"/>
              </w:rPr>
              <w:t>Cyber Security Awareness Workshop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8"/>
              </w:rPr>
              <w:t>Code</w:t>
            </w:r>
          </w:p>
        </w:tc>
        <w:tc>
          <w:tcPr>
            <w:tcW w:type="dxa" w:w="784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8"/>
              </w:rPr>
              <w:t>C506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8"/>
              </w:rPr>
              <w:t>Duration</w:t>
            </w:r>
          </w:p>
        </w:tc>
        <w:tc>
          <w:tcPr>
            <w:tcW w:type="dxa" w:w="784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8"/>
              </w:rPr>
              <w:t>1 day, 9:30am – 5:30pm (7.5 instructional hours, 0.5 hour lunch)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8"/>
              </w:rPr>
              <w:t>Slides</w:t>
            </w:r>
          </w:p>
        </w:tc>
        <w:tc>
          <w:tcPr>
            <w:tcW w:type="dxa" w:w="784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8"/>
              </w:rPr>
              <w:t>139</w:t>
            </w:r>
          </w:p>
        </w:tc>
      </w:tr>
    </w:tbl>
    <w:p>
      <w:pPr>
        <w:pStyle w:val="Heading2"/>
      </w:pPr>
      <w:r>
        <w:t>Document Version Control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07"/>
            <w:shd w:fill="0B2545"/>
            <w:vAlign w:val="center"/>
          </w:tcPr>
          <w:p>
            <w:r>
              <w:rPr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1655"/>
            <w:shd w:fill="0B2545"/>
            <w:vAlign w:val="center"/>
          </w:tcPr>
          <w:p>
            <w:r>
              <w:rPr>
                <w:b/>
                <w:color w:val="FFFFFF"/>
                <w:sz w:val="15"/>
              </w:rPr>
              <w:t>Effective date</w:t>
            </w:r>
          </w:p>
        </w:tc>
        <w:tc>
          <w:tcPr>
            <w:tcW w:type="dxa" w:w="5832"/>
            <w:shd w:fill="0B2545"/>
            <w:vAlign w:val="center"/>
          </w:tcPr>
          <w:p>
            <w:r>
              <w:rPr>
                <w:b/>
                <w:color w:val="FFFFFF"/>
                <w:sz w:val="15"/>
              </w:rPr>
              <w:t>Summary</w:t>
            </w:r>
          </w:p>
        </w:tc>
        <w:tc>
          <w:tcPr>
            <w:tcW w:type="dxa" w:w="1584"/>
            <w:shd w:fill="0B2545"/>
            <w:vAlign w:val="center"/>
          </w:tcPr>
          <w:p>
            <w:r>
              <w:rPr>
                <w:b/>
                <w:color w:val="FFFFFF"/>
                <w:sz w:val="15"/>
              </w:rPr>
              <w:t>Author</w:t>
            </w:r>
          </w:p>
        </w:tc>
      </w:tr>
      <w:tr>
        <w:trPr>
          <w:cantSplit/>
        </w:trPr>
        <w:tc>
          <w:tcPr>
            <w:tcW w:type="dxa" w:w="1007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5"/>
              </w:rPr>
              <w:t>1.0</w:t>
            </w:r>
          </w:p>
        </w:tc>
        <w:tc>
          <w:tcPr>
            <w:tcW w:type="dxa" w:w="1655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5"/>
              </w:rPr>
              <w:t>1 Oct 2026</w:t>
            </w:r>
          </w:p>
        </w:tc>
        <w:tc>
          <w:tcPr>
            <w:tcW w:type="dxa" w:w="583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5"/>
              </w:rPr>
              <w:t>Initial release of the workshop courseware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5"/>
              </w:rPr>
              <w:t>Tertiary Infotech Academy</w:t>
            </w:r>
          </w:p>
        </w:tc>
      </w:tr>
    </w:tbl>
    <w:p>
      <w:pPr>
        <w:pStyle w:val="Heading1"/>
      </w:pPr>
      <w:r>
        <w:t>Learning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7"/>
            <w:shd w:fill="0B2545"/>
            <w:vAlign w:val="center"/>
          </w:tcPr>
          <w:p>
            <w:r>
              <w:rPr>
                <w:b/>
                <w:color w:val="FFFFFF"/>
                <w:sz w:val="17"/>
              </w:rPr>
              <w:t>Outcome</w:t>
            </w:r>
          </w:p>
        </w:tc>
        <w:tc>
          <w:tcPr>
            <w:tcW w:type="dxa" w:w="6912"/>
            <w:shd w:fill="0B2545"/>
            <w:vAlign w:val="center"/>
          </w:tcPr>
          <w:p>
            <w:r>
              <w:rPr>
                <w:b/>
                <w:color w:val="FFFFFF"/>
                <w:sz w:val="17"/>
              </w:rPr>
              <w:t>Statement</w:t>
            </w:r>
          </w:p>
        </w:tc>
        <w:tc>
          <w:tcPr>
            <w:tcW w:type="dxa" w:w="2015"/>
            <w:shd w:fill="0B2545"/>
            <w:vAlign w:val="center"/>
          </w:tcPr>
          <w:p>
            <w:r>
              <w:rPr>
                <w:b/>
                <w:color w:val="FFFFFF"/>
                <w:sz w:val="17"/>
              </w:rPr>
              <w:t>Topic</w:t>
            </w:r>
          </w:p>
        </w:tc>
      </w:tr>
      <w:tr>
        <w:trPr>
          <w:cantSplit/>
        </w:trPr>
        <w:tc>
          <w:tcPr>
            <w:tcW w:type="dxa" w:w="1007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7"/>
              </w:rPr>
              <w:t>LO1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7"/>
              </w:rPr>
              <w:t>Identify cyber security risks and threats affecting people and organisations</w:t>
            </w:r>
          </w:p>
        </w:tc>
        <w:tc>
          <w:tcPr>
            <w:tcW w:type="dxa" w:w="2015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7"/>
              </w:rPr>
              <w:t>Topic 1</w:t>
            </w:r>
          </w:p>
        </w:tc>
      </w:tr>
      <w:tr>
        <w:trPr>
          <w:cantSplit/>
        </w:trPr>
        <w:tc>
          <w:tcPr>
            <w:tcW w:type="dxa" w:w="1007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7"/>
              </w:rPr>
              <w:t>LO2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7"/>
              </w:rPr>
              <w:t>Apply safeguards to protect personal information and everyday digital activity</w:t>
            </w:r>
          </w:p>
        </w:tc>
        <w:tc>
          <w:tcPr>
            <w:tcW w:type="dxa" w:w="2015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7"/>
              </w:rPr>
              <w:t>Topic 2</w:t>
            </w:r>
          </w:p>
        </w:tc>
      </w:tr>
      <w:tr>
        <w:trPr>
          <w:cantSplit/>
        </w:trPr>
        <w:tc>
          <w:tcPr>
            <w:tcW w:type="dxa" w:w="1007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7"/>
              </w:rPr>
              <w:t>LO3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7"/>
              </w:rPr>
              <w:t>Apply business safeguards and interpret incidents that require escalation</w:t>
            </w:r>
          </w:p>
        </w:tc>
        <w:tc>
          <w:tcPr>
            <w:tcW w:type="dxa" w:w="2015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7"/>
              </w:rPr>
              <w:t>Topic 3</w:t>
            </w:r>
          </w:p>
        </w:tc>
      </w:tr>
    </w:tbl>
    <w:p>
      <w:pPr>
        <w:pStyle w:val="Heading1"/>
      </w:pPr>
      <w:r>
        <w:t>Facilitation principles</w:t>
      </w:r>
    </w:p>
    <w:p>
      <w:pPr>
        <w:pStyle w:val="ListBullet"/>
      </w:pPr>
      <w:r>
        <w:t>Use the PPT for concepts, visuals, discussion and lab framing; use the LG/lab pack for detailed procedures.</w:t>
      </w:r>
    </w:p>
    <w:p>
      <w:pPr>
        <w:pStyle w:val="ListBullet"/>
      </w:pPr>
      <w:r>
        <w:t>Show the mock communication first and ask ‘What would you do next?’ before revealing the clue cards.</w:t>
      </w:r>
    </w:p>
    <w:p>
      <w:pPr>
        <w:pStyle w:val="ListBullet"/>
      </w:pPr>
      <w:r>
        <w:t>Ask learners to separate evidence from inference and link every control to a specific risk.</w:t>
      </w:r>
    </w:p>
    <w:p>
      <w:pPr>
        <w:pStyle w:val="ListBullet"/>
      </w:pPr>
      <w:r>
        <w:t>Use only supplied mock data and authorised training environments.</w:t>
      </w:r>
    </w:p>
    <w:p>
      <w:pPr>
        <w:pStyle w:val="ListBullet"/>
      </w:pPr>
      <w:r>
        <w:t>Do not demonstrate destructive techniques, credential theft or testing outside scope.</w:t>
      </w:r>
    </w:p>
    <w:p>
      <w:pPr>
        <w:pStyle w:val="ListBullet"/>
      </w:pPr>
      <w:r>
        <w:t>Collect evidence against the acceptance criteria rather than screenshots alone.</w:t>
      </w:r>
    </w:p>
    <w:p>
      <w:pPr>
        <w:pStyle w:val="Heading1"/>
      </w:pPr>
      <w:r>
        <w:t>Detailed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368"/>
            <w:shd w:fill="0B2545"/>
            <w:vAlign w:val="center"/>
          </w:tcPr>
          <w:p>
            <w:r>
              <w:rPr>
                <w:b/>
                <w:color w:val="FFFFFF"/>
                <w:sz w:val="14"/>
              </w:rPr>
              <w:t>Time</w:t>
            </w:r>
          </w:p>
        </w:tc>
        <w:tc>
          <w:tcPr>
            <w:tcW w:type="dxa" w:w="936"/>
            <w:shd w:fill="0B2545"/>
            <w:vAlign w:val="center"/>
          </w:tcPr>
          <w:p>
            <w:r>
              <w:rPr>
                <w:b/>
                <w:color w:val="FFFFFF"/>
                <w:sz w:val="14"/>
              </w:rPr>
              <w:t>Duration</w:t>
            </w:r>
          </w:p>
        </w:tc>
        <w:tc>
          <w:tcPr>
            <w:tcW w:type="dxa" w:w="3024"/>
            <w:shd w:fill="0B2545"/>
            <w:vAlign w:val="center"/>
          </w:tcPr>
          <w:p>
            <w:r>
              <w:rPr>
                <w:b/>
                <w:color w:val="FFFFFF"/>
                <w:sz w:val="14"/>
              </w:rPr>
              <w:t>Topic / activity</w:t>
            </w:r>
          </w:p>
        </w:tc>
        <w:tc>
          <w:tcPr>
            <w:tcW w:type="dxa" w:w="1800"/>
            <w:shd w:fill="0B2545"/>
            <w:vAlign w:val="center"/>
          </w:tcPr>
          <w:p>
            <w:r>
              <w:rPr>
                <w:b/>
                <w:color w:val="FFFFFF"/>
                <w:sz w:val="14"/>
              </w:rPr>
              <w:t>Materials</w:t>
            </w:r>
          </w:p>
        </w:tc>
        <w:tc>
          <w:tcPr>
            <w:tcW w:type="dxa" w:w="2088"/>
            <w:shd w:fill="0B2545"/>
            <w:vAlign w:val="center"/>
          </w:tcPr>
          <w:p>
            <w:r>
              <w:rPr>
                <w:b/>
                <w:color w:val="FFFFFF"/>
                <w:sz w:val="14"/>
              </w:rPr>
              <w:t>Evidence / method</w:t>
            </w:r>
          </w:p>
        </w:tc>
        <w:tc>
          <w:tcPr>
            <w:tcW w:type="dxa" w:w="864"/>
            <w:shd w:fill="0B2545"/>
            <w:vAlign w:val="center"/>
          </w:tcPr>
          <w:p>
            <w:r>
              <w:rPr>
                <w:b/>
                <w:color w:val="FFFFFF"/>
                <w:sz w:val="14"/>
              </w:rPr>
              <w:t>Outcome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09:30–09:45</w:t>
            </w:r>
          </w:p>
        </w:tc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15 min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Welcome, outcomes and safety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Slides 1–4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Questioning + scope acknowledgement</w:t>
            </w:r>
          </w:p>
        </w:tc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All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09:45–10:20</w:t>
            </w:r>
          </w:p>
        </w:tc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35 min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Core model, CIA, risk and Singapore BEC data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Slides 5–10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Asset–threat–vulnerability chain</w:t>
            </w:r>
          </w:p>
        </w:tc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LO1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10:20–11:00</w:t>
            </w:r>
          </w:p>
        </w:tc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40 min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Threat actors, attack chain and malware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Topic 1 slides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Malware classification discussion</w:t>
            </w:r>
          </w:p>
        </w:tc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LO1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11:00–11:40</w:t>
            </w:r>
          </w:p>
        </w:tc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40 min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Social engineering through eight mock emails, messages, calls, QR and workplace examples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Beginner example slides + LG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Spot-the-clue discussion and safe-response choices</w:t>
            </w:r>
          </w:p>
        </w:tc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LO1/LO3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11:40–12:20</w:t>
            </w:r>
          </w:p>
        </w:tc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40 min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Real-world cases: SingHealth through BEC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Case slides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Attack-chain transfer questions</w:t>
            </w:r>
          </w:p>
        </w:tc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LO1/LO3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12:20–12:55</w:t>
            </w:r>
          </w:p>
        </w:tc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35 min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Labs 01–03: triage, phishing/BEC, malware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 folders 01–03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Evidence checkpoint</w:t>
            </w:r>
          </w:p>
        </w:tc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LO1/LO3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12:55–13:25</w:t>
            </w:r>
          </w:p>
        </w:tc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30 min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Lunch break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—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—</w:t>
            </w:r>
          </w:p>
        </w:tc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13:25–14:05</w:t>
            </w:r>
          </w:p>
        </w:tc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40 min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Personal safeguards: identity, device, backup, online safety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Topic 2 slides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Personal baseline self-audit</w:t>
            </w:r>
          </w:p>
        </w:tc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LO2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14:05–14:40</w:t>
            </w:r>
          </w:p>
        </w:tc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35 min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 06: cryptography safeguards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 06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Hash/encryption evidence</w:t>
            </w:r>
          </w:p>
        </w:tc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LO2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14:40–15:20</w:t>
            </w:r>
          </w:p>
        </w:tc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40 min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Business vulnerabilities and risk prioritisation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Topic 3 slides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Risk-register discussion</w:t>
            </w:r>
          </w:p>
        </w:tc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LO1/LO3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15:20–16:25</w:t>
            </w:r>
          </w:p>
        </w:tc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65 min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Labs 04, 05, 07 and 08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 folders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Facilitator evidence review</w:t>
            </w:r>
          </w:p>
        </w:tc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LO1–LO3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16:25–17:00</w:t>
            </w:r>
          </w:p>
        </w:tc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35 min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Detection, governance, recovery and escalation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Topic 3 slides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Incident-brief rehearsal</w:t>
            </w:r>
          </w:p>
        </w:tc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LO3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17:00–17:30</w:t>
            </w:r>
          </w:p>
        </w:tc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30 min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Labs 09–10 and action plan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 folders 09–10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Three-minute briefing</w:t>
            </w:r>
          </w:p>
        </w:tc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LO1–LO3</w:t>
            </w:r>
          </w:p>
        </w:tc>
      </w:tr>
    </w:tbl>
    <w:p>
      <w:pPr>
        <w:pStyle w:val="Heading1"/>
      </w:pPr>
      <w:r>
        <w:t>Lab facilitation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892"/>
            <w:shd w:fill="0B2545"/>
            <w:vAlign w:val="center"/>
          </w:tcPr>
          <w:p>
            <w:r>
              <w:rPr>
                <w:b/>
                <w:color w:val="FFFFFF"/>
                <w:sz w:val="14"/>
              </w:rPr>
              <w:t>Lab</w:t>
            </w:r>
          </w:p>
        </w:tc>
        <w:tc>
          <w:tcPr>
            <w:tcW w:type="dxa" w:w="979"/>
            <w:shd w:fill="0B2545"/>
            <w:vAlign w:val="center"/>
          </w:tcPr>
          <w:p>
            <w:r>
              <w:rPr>
                <w:b/>
                <w:color w:val="FFFFFF"/>
                <w:sz w:val="14"/>
              </w:rPr>
              <w:t>Time</w:t>
            </w:r>
          </w:p>
        </w:tc>
        <w:tc>
          <w:tcPr>
            <w:tcW w:type="dxa" w:w="1800"/>
            <w:shd w:fill="0B2545"/>
            <w:vAlign w:val="center"/>
          </w:tcPr>
          <w:p>
            <w:r>
              <w:rPr>
                <w:b/>
                <w:color w:val="FFFFFF"/>
                <w:sz w:val="14"/>
              </w:rPr>
              <w:t>Tool</w:t>
            </w:r>
          </w:p>
        </w:tc>
        <w:tc>
          <w:tcPr>
            <w:tcW w:type="dxa" w:w="2592"/>
            <w:shd w:fill="0B2545"/>
            <w:vAlign w:val="center"/>
          </w:tcPr>
          <w:p>
            <w:r>
              <w:rPr>
                <w:b/>
                <w:color w:val="FFFFFF"/>
                <w:sz w:val="14"/>
              </w:rPr>
              <w:t>Alignment</w:t>
            </w:r>
          </w:p>
        </w:tc>
        <w:tc>
          <w:tcPr>
            <w:tcW w:type="dxa" w:w="3816"/>
            <w:shd w:fill="0B2545"/>
            <w:vAlign w:val="center"/>
          </w:tcPr>
          <w:p>
            <w:r>
              <w:rPr>
                <w:b/>
                <w:color w:val="FFFFFF"/>
                <w:sz w:val="14"/>
              </w:rPr>
              <w:t>Evidence focus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Lab-01</w:t>
            </w:r>
          </w:p>
        </w:tc>
        <w:tc>
          <w:tcPr>
            <w:tcW w:type="dxa" w:w="979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25 minutes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Cybersecurity Simulator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LO1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Completed triage table; Severity rationale; Screenshot of highest-risk decision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Lab-02</w:t>
            </w:r>
          </w:p>
        </w:tc>
        <w:tc>
          <w:tcPr>
            <w:tcW w:type="dxa" w:w="979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35 minutes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Cybersecurity Simulator + Regex Generator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LO1, LO3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Annotated inbox; Tested regex; Detection test results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Lab-03</w:t>
            </w:r>
          </w:p>
        </w:tc>
        <w:tc>
          <w:tcPr>
            <w:tcW w:type="dxa" w:w="979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30 minutes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Cybersecurity Simulator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LO1, LO3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Malware classification; Attack-chain map; Evidence vs inference notes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Lab-04</w:t>
            </w:r>
          </w:p>
        </w:tc>
        <w:tc>
          <w:tcPr>
            <w:tcW w:type="dxa" w:w="979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35 minutes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Ethical Hacking Simulator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LO1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Ranked risk register; Top-three rationale; Treatment decisions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Lab-05</w:t>
            </w:r>
          </w:p>
        </w:tc>
        <w:tc>
          <w:tcPr>
            <w:tcW w:type="dxa" w:w="979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40 minutes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FauxBank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LO1, LO3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Signed scope check; Completed test plan; Redacted screenshots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Lab-06</w:t>
            </w:r>
          </w:p>
        </w:tc>
        <w:tc>
          <w:tcPr>
            <w:tcW w:type="dxa" w:w="979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30 minutes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Cryptography Toolkit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LO2, LO3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Data classification; Hash comparison; Encrypted/decrypted sample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Lab-07</w:t>
            </w:r>
          </w:p>
        </w:tc>
        <w:tc>
          <w:tcPr>
            <w:tcW w:type="dxa" w:w="979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35 minutes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IP Calculator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LO1, LO3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Subnet plan; Asset-to-zone mapping; Allowed-flow matrix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Lab-08</w:t>
            </w:r>
          </w:p>
        </w:tc>
        <w:tc>
          <w:tcPr>
            <w:tcW w:type="dxa" w:w="979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35 minutes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PCAP Analyzer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LO1, LO3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Traffic findings; Five-event timeline; Earliest reliable signal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Lab-09</w:t>
            </w:r>
          </w:p>
        </w:tc>
        <w:tc>
          <w:tcPr>
            <w:tcW w:type="dxa" w:w="979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30 minutes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Regex Generator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LO3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Tested regex; Confusion matrix; Threshold decision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Lab-10</w:t>
            </w:r>
          </w:p>
        </w:tc>
        <w:tc>
          <w:tcPr>
            <w:tcW w:type="dxa" w:w="979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45 minutes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Integrated toolkit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LO1–LO3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>
              <w:rPr>
                <w:rFonts w:ascii="Aptos" w:hAnsi="Aptos"/>
                <w:color w:val="10243E"/>
                <w:sz w:val="14"/>
              </w:rPr>
              <w:t>Correlated timeline; CIA and business-impact assessment; Decision log</w:t>
            </w:r>
          </w:p>
        </w:tc>
      </w:tr>
    </w:tbl>
    <w:p>
      <w:pPr>
        <w:pStyle w:val="Heading1"/>
      </w:pPr>
      <w:r>
        <w:t>Real-world case prompts</w:t>
      </w:r>
    </w:p>
    <w:p>
      <w:pPr>
        <w:pStyle w:val="Heading3"/>
      </w:pPr>
      <w:r>
        <w:t>SingHealth data breach</w:t>
      </w:r>
    </w:p>
    <w:p>
      <w:r>
        <w:t>Ask: What was the entry path? Which weakness made it credible? What could defenders see? Which earlier control could have broken the chain? Transfer the answer to a learner's own context. Source: Ministry of Health Singapore — SingHealth's IT System Target of Cyberattack — https://www.moh.gov.sg/newsroom/singhealth%27s-it-system-target-of-cyberattack/</w:t>
      </w:r>
    </w:p>
    <w:p>
      <w:pPr>
        <w:pStyle w:val="Heading3"/>
      </w:pPr>
      <w:r>
        <w:t>WannaCry and the NHS</w:t>
      </w:r>
    </w:p>
    <w:p>
      <w:r>
        <w:t>Ask: What was the entry path? Which weakness made it credible? What could defenders see? Which earlier control could have broken the chain? Transfer the answer to a learner's own context. Source: UK National Audit Office — Investigation: WannaCry Cyber Attack and the NHS — https://www.nao.org.uk/reports/investigation-wannacry-cyber-attack-and-the-nhs/</w:t>
      </w:r>
    </w:p>
    <w:p>
      <w:pPr>
        <w:pStyle w:val="Heading3"/>
      </w:pPr>
      <w:r>
        <w:t>Equifax breach</w:t>
      </w:r>
    </w:p>
    <w:p>
      <w:r>
        <w:t>Ask: What was the entry path? Which weakness made it credible? What could defenders see? Which earlier control could have broken the chain? Transfer the answer to a learner's own context. Source: U.S. House Committee on Oversight — The Equifax Data Breach — https://oversight.house.gov/report/the-equifax-data-breach/</w:t>
      </w:r>
    </w:p>
    <w:p>
      <w:pPr>
        <w:pStyle w:val="Heading3"/>
      </w:pPr>
      <w:r>
        <w:t>SolarWinds supply-chain compromise</w:t>
      </w:r>
    </w:p>
    <w:p>
      <w:r>
        <w:t>Ask: What was the entry path? Which weakness made it credible? What could defenders see? Which earlier control could have broken the chain? Transfer the answer to a learner's own context. Source: CISA — Active Exploitation of SolarWinds Software — https://www.cisa.gov/news-events/alerts/2020/12/13/active-exploitation-solarwinds-software</w:t>
      </w:r>
    </w:p>
    <w:p>
      <w:pPr>
        <w:pStyle w:val="Heading3"/>
      </w:pPr>
      <w:r>
        <w:t>Colonial Pipeline</w:t>
      </w:r>
    </w:p>
    <w:p>
      <w:r>
        <w:t>Ask: What was the entry path? Which weakness made it credible? What could defenders see? Which earlier control could have broken the chain? Transfer the answer to a learner's own context. Source: CISA — IAM Case Study: Colonial Pipeline — https://www.cisa.gov/sites/default/files/2023-12/IAM_EDUCATIONAL_AID_TALKING_POINTS_508C.pdf</w:t>
      </w:r>
    </w:p>
    <w:p>
      <w:pPr>
        <w:pStyle w:val="Heading3"/>
      </w:pPr>
      <w:r>
        <w:t>Log4Shell exploitation</w:t>
      </w:r>
    </w:p>
    <w:p>
      <w:r>
        <w:t>Ask: What was the entry path? Which weakness made it credible? What could defenders see? Which earlier control could have broken the chain? Transfer the answer to a learner's own context. Source: CISA — Mitigating Log4Shell and Log4j Vulnerabilities — https://www.cisa.gov/news-events/cybersecurity-advisories/aa21-356a</w:t>
      </w:r>
    </w:p>
    <w:p>
      <w:pPr>
        <w:pStyle w:val="Heading3"/>
      </w:pPr>
      <w:r>
        <w:t>MOVEit mass exploitation</w:t>
      </w:r>
    </w:p>
    <w:p>
      <w:r>
        <w:t>Ask: What was the entry path? Which weakness made it credible? What could defenders see? Which earlier control could have broken the chain? Transfer the answer to a learner's own context. Source: CISA — CL0P Exploits MOVEit Vulnerability — https://www.cisa.gov/sites/default/files/2023-06/aa23-158a-stopransomware-cl0p-ransomware-gang-exploits-moveit-vulnerability_7.pdf</w:t>
      </w:r>
    </w:p>
    <w:p>
      <w:pPr>
        <w:pStyle w:val="Heading3"/>
      </w:pPr>
      <w:r>
        <w:t>MGM Resorts cyber incident</w:t>
      </w:r>
    </w:p>
    <w:p>
      <w:r>
        <w:t>Ask: What was the entry path? Which weakness made it credible? What could defenders see? Which earlier control could have broken the chain? Transfer the answer to a learner's own context. Source: U.S. Securities and Exchange Commission — MGM Resorts International Form 8-K — https://www.sec.gov/Archives/edgar/data/789570/000119312523251667/d461062d8k.htm</w:t>
      </w:r>
    </w:p>
    <w:p>
      <w:pPr>
        <w:pStyle w:val="Heading3"/>
      </w:pPr>
      <w:r>
        <w:t>Singapore commodity-trader BEC</w:t>
      </w:r>
    </w:p>
    <w:p>
      <w:r>
        <w:t>Ask: What was the entry path? Which weakness made it credible? What could defenders see? Which earlier control could have broken the chain? Transfer the answer to a learner's own context. Source: Singapore Police Force — Recovery of Over USD 6.6 Million in BEC Case — https://www.police.gov.sg/media-hub/news/2026/05/20260505_international_cooperation_leads_to_the_recovery_of_over</w:t>
      </w:r>
    </w:p>
    <w:p>
      <w:pPr>
        <w:pStyle w:val="Heading3"/>
      </w:pPr>
      <w:r>
        <w:t>Target payment-card breach</w:t>
      </w:r>
    </w:p>
    <w:p>
      <w:r>
        <w:t>Ask: What was the entry path? Which weakness made it credible? What could defenders see? Which earlier control could have broken the chain? Transfer the answer to a learner's own context. Source: U.S. Senate Committee on Commerce — Target's Missed Opportunities to Stop a Data Breach — https://www.commerce.senate.gov/press/dem/release/rockefeller-staff-report-details-targets-missed-opportunities-to-stop-massive-data-breach-2014-3/</w:t>
      </w:r>
    </w:p>
    <w:p>
      <w:pPr>
        <w:pStyle w:val="Heading3"/>
      </w:pPr>
      <w:r>
        <w:t>NotPetya disruption at Maersk</w:t>
      </w:r>
    </w:p>
    <w:p>
      <w:r>
        <w:t>Ask: What was the entry path? Which weakness made it credible? What could defenders see? Which earlier control could have broken the chain? Transfer the answer to a learner's own context. Source: UK Department for Transport — Cyber Security for Ports and Port Systems — https://assets.publishing.service.gov.uk/government/uploads/system/uploads/attachment_data/file/546160/cyber-security-for-ports-and-port-systems-code-of-practice.pdf</w:t>
      </w:r>
    </w:p>
    <w:p>
      <w:pPr>
        <w:pStyle w:val="Heading3"/>
      </w:pPr>
      <w:r>
        <w:t>Marriott Starwood data breach</w:t>
      </w:r>
    </w:p>
    <w:p>
      <w:r>
        <w:t>Ask: What was the entry path? Which weakness made it credible? What could defenders see? Which earlier control could have broken the chain? Transfer the answer to a learner's own context. Source: UK Information Commissioner's Office — Marriott International Monetary Penalty Notice — https://ico.org.uk/media/action-weve-taken/mpns/2618524/marriott-international-inc-mpn-20201030.pdf</w:t>
      </w:r>
    </w:p>
    <w:p>
      <w:pPr>
        <w:pStyle w:val="Heading3"/>
      </w:pPr>
      <w:r>
        <w:t>Capital One cloud data breach</w:t>
      </w:r>
    </w:p>
    <w:p>
      <w:r>
        <w:t>Ask: What was the entry path? Which weakness made it credible? What could defenders see? Which earlier control could have broken the chain? Transfer the answer to a learner's own context. Source: U.S. Department of Justice — Seattle Tech Worker Arrested for Data Theft — https://www.justice.gov/usao-wdwa/pr/seattle-tech-worker-arrested-data-theft-involving-large-financial-services-company</w:t>
      </w:r>
    </w:p>
    <w:p>
      <w:pPr>
        <w:pStyle w:val="Heading3"/>
      </w:pPr>
      <w:r>
        <w:t>Norsk Hydro LockerGoga ransomware</w:t>
      </w:r>
    </w:p>
    <w:p>
      <w:r>
        <w:t>Ask: What was the entry path? Which weakness made it credible? What could defenders see? Which earlier control could have broken the chain? Transfer the answer to a learner's own context. Source: UK National Cyber Security Centre — What Is OT Malware? — https://www.ncsc.gov.uk/blog-post/what-is-ot-malware</w:t>
      </w:r>
    </w:p>
    <w:p>
      <w:pPr>
        <w:pStyle w:val="Heading3"/>
      </w:pPr>
      <w:r>
        <w:t>Change Healthcare cyberattack</w:t>
      </w:r>
    </w:p>
    <w:p>
      <w:r>
        <w:t>Ask: What was the entry path? Which weakness made it credible? What could defenders see? Which earlier control could have broken the chain? Transfer the answer to a learner's own context. Source: U.S. Securities and Exchange Commission — UnitedHealth Group Form 8-K, 21 February 2024 — https://www.sec.gov/Archives/edgar/data/731766/000073176624000045/unh-20240221.htm</w:t>
      </w:r>
    </w:p>
    <w:p>
      <w:pPr>
        <w:pStyle w:val="Heading1"/>
      </w:pPr>
      <w:r>
        <w:t>Trainer close-out checklist</w:t>
      </w:r>
    </w:p>
    <w:p>
      <w:r>
        <w:t>☐ All outcomes covered</w:t>
      </w:r>
    </w:p>
    <w:p>
      <w:r>
        <w:t>☐ All lab safety boundaries stated</w:t>
      </w:r>
    </w:p>
    <w:p>
      <w:r>
        <w:t>☐ Learner evidence checked against acceptance criteria</w:t>
      </w:r>
    </w:p>
    <w:p>
      <w:r>
        <w:t>☐ Incidents or near misses documented</w:t>
      </w:r>
    </w:p>
    <w:p>
      <w:r>
        <w:t>☐ Follow-up actions assigned</w:t>
      </w:r>
    </w:p>
    <w:sectPr w:rsidR="00FC693F" w:rsidRPr="0006063C" w:rsidSect="00034616">
      <w:headerReference w:type="default" r:id="rId9"/>
      <w:footerReference w:type="default" r:id="rId10"/>
      <w:footerReference w:type="first" r:id="rId12"/>
      <w:headerReference w:type="first" r:id="rId13"/>
      <w:pgSz w:w="12240" w:h="15840"/>
      <w:pgMar w:top="1224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A"/>
        <w:sz w:val="15"/>
      </w:rPr>
      <w:t xml:space="preserve">Tertiary Infotech Academy Pte Ltd  •  v1.0  •  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F6B7A"/>
        <w:sz w:val="15"/>
      </w:rPr>
      <w:t>C506  |  Cyber Security Awareness Workshop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024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E7C8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43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88" w:right="288"/>
    </w:pPr>
    <w:rPr>
      <w:rFonts w:ascii="Aptos" w:hAnsi="Aptos"/>
      <w:b/>
      <w:color w:val="0E7C8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footer" Target="footer2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