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pmp-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Project Management Masterclass</w:t>
      </w:r>
    </w:p>
    <w:p>
      <w:pPr>
        <w:spacing w:before="80" w:after="280"/>
        <w:jc w:val="center"/>
      </w:pPr>
      <w:r>
        <w:rPr>
          <w:b w:val="0"/>
          <w:color w:val="111827"/>
          <w:sz w:val="24"/>
        </w:rPr>
        <w:t>Course Code: C523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15.0</w:t>
            </w:r>
          </w:p>
        </w:tc>
        <w:tc>
          <w:tcPr>
            <w:tcW w:type="dxa" w:w="2160"/>
          </w:tcPr>
          <w:p>
            <w:r/>
            <w:r>
              <w:rPr>
                <w:sz w:val="19"/>
              </w:rPr>
              <w:t>1 June 2026</w:t>
            </w:r>
          </w:p>
        </w:tc>
        <w:tc>
          <w:tcPr>
            <w:tcW w:type="dxa" w:w="2160"/>
          </w:tcPr>
          <w:p>
            <w:r/>
            <w:r>
              <w:rPr>
                <w:sz w:val="19"/>
              </w:rPr>
              <w:t>Six-topic learner guide aligned to the 2021 PMP exam content outline</w:t>
            </w:r>
          </w:p>
        </w:tc>
        <w:tc>
          <w:tcPr>
            <w:tcW w:type="dxa" w:w="2160"/>
          </w:tcPr>
          <w:p>
            <w:r/>
            <w:r>
              <w:rPr>
                <w:sz w:val="19"/>
              </w:rPr>
              <w:t>Tertiary Infotech Academy Pte Ltd</w:t>
            </w:r>
          </w:p>
        </w:tc>
      </w:tr>
      <w:tr>
        <w:tc>
          <w:tcPr>
            <w:tcW w:type="dxa" w:w="2160"/>
          </w:tcPr>
          <w:p>
            <w:r>
              <w:t>3.0</w:t>
            </w:r>
            <w:r>
              <w:rPr>
                <w:sz w:val="19"/>
              </w:rPr>
            </w:r>
          </w:p>
        </w:tc>
        <w:tc>
          <w:tcPr>
            <w:tcW w:type="dxa" w:w="2160"/>
          </w:tcPr>
          <w:p>
            <w:r/>
            <w:r>
              <w:rPr>
                <w:sz w:val="19"/>
              </w:rPr>
              <w:t>19 July 2026</w:t>
            </w:r>
          </w:p>
        </w:tc>
        <w:tc>
          <w:tcPr>
            <w:tcW w:type="dxa" w:w="2160"/>
          </w:tcPr>
          <w:p>
            <w:r/>
            <w:r>
              <w:rPr>
                <w:sz w:val="19"/>
              </w:rPr>
              <w:t>Rebuilt against the PMI PMP Examination Content Outline (July 2026): domain weighting People 33% / Process 41% / Business Environment 26%; sustainability and AI content added; expanded to 24 hands-on labs; every topic mapped to its ECO tasks and learning outcome</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pPr>
        <w:spacing w:after="120"/>
      </w:pPr>
      <w:r>
        <w:rPr>
          <w:rFonts w:ascii="Arial" w:hAnsi="Arial"/>
          <w:b w:val="0"/>
          <w:color w:val="161B26"/>
          <w:sz w:val="22"/>
        </w:rPr>
        <w:t>This Learner Guide accompanies the 4-day Project Management Masterclass. It follows the same six topics as the slide deck and the Lesson Plan, and the 24 hands-on labs referenced here are the same labs you complete in class.</w:t>
      </w:r>
    </w:p>
    <w:p>
      <w:pPr>
        <w:spacing w:after="120"/>
      </w:pPr>
      <w:r>
        <w:rPr>
          <w:rFonts w:ascii="Arial" w:hAnsi="Arial"/>
          <w:b w:val="0"/>
          <w:color w:val="161B26"/>
          <w:sz w:val="22"/>
        </w:rPr>
        <w:t>Each topic chapter contains the teaching notes for that topic, the Examination Content Outline tasks it delivers, the labs that practise it, and a set of review questions. Work through the chapter after the session, then attempt the review questions without referring back.</w:t>
      </w:r>
    </w:p>
    <w:p>
      <w:pPr>
        <w:spacing w:after="200"/>
      </w:pPr>
      <w:r>
        <w:rPr>
          <w:rFonts w:ascii="Arial" w:hAnsi="Arial"/>
          <w:b w:val="0"/>
          <w:color w:val="161B26"/>
          <w:sz w:val="22"/>
        </w:rPr>
        <w:t>The course is aligned to the PMI Examination Content Outline published for the July 2026 exam update. Where this guide differs from older PMP material, the 2026 outline governs.</w:t>
      </w:r>
    </w:p>
    <w:p>
      <w:pPr>
        <w:pStyle w:val="Heading2"/>
      </w:pPr>
      <w:r>
        <w:t>Learning Outcomes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Ref</w:t>
            </w:r>
          </w:p>
        </w:tc>
        <w:tc>
          <w:tcPr>
            <w:tcW w:type="dxa" w:w="4320"/>
            <w:shd w:val="clear" w:fill="1F6FEB"/>
          </w:tcPr>
          <w:p>
            <w:r/>
            <w:r>
              <w:rPr>
                <w:rFonts w:ascii="Arial" w:hAnsi="Arial"/>
                <w:b/>
                <w:color w:val="FFFFFF"/>
                <w:sz w:val="19"/>
              </w:rPr>
              <w:t>Learning Outcome</w:t>
            </w:r>
          </w:p>
        </w:tc>
      </w:tr>
      <w:tr>
        <w:tc>
          <w:tcPr>
            <w:tcW w:type="dxa" w:w="4320"/>
            <w:shd w:val="clear" w:fill="E8F0FE"/>
          </w:tcPr>
          <w:p>
            <w:r/>
            <w:r>
              <w:rPr>
                <w:rFonts w:ascii="Arial" w:hAnsi="Arial"/>
                <w:b/>
                <w:color w:val="161B26"/>
                <w:sz w:val="18"/>
              </w:rPr>
              <w:t>LO1</w:t>
            </w:r>
          </w:p>
        </w:tc>
        <w:tc>
          <w:tcPr>
            <w:tcW w:type="dxa" w:w="4320"/>
          </w:tcPr>
          <w:p>
            <w:r/>
            <w:r>
              <w:rPr>
                <w:rFonts w:ascii="Arial" w:hAnsi="Arial"/>
                <w:b w:val="0"/>
                <w:color w:val="5B6372"/>
                <w:sz w:val="18"/>
              </w:rPr>
              <w:t>Scope medium-scale project requirements to drive timely completions.</w:t>
            </w:r>
          </w:p>
        </w:tc>
      </w:tr>
      <w:tr>
        <w:tc>
          <w:tcPr>
            <w:tcW w:type="dxa" w:w="4320"/>
            <w:shd w:val="clear" w:fill="E8F0FE"/>
          </w:tcPr>
          <w:p>
            <w:r/>
            <w:r>
              <w:rPr>
                <w:rFonts w:ascii="Arial" w:hAnsi="Arial"/>
                <w:b/>
                <w:color w:val="161B26"/>
                <w:sz w:val="18"/>
              </w:rPr>
              <w:t>LO2</w:t>
            </w:r>
          </w:p>
        </w:tc>
        <w:tc>
          <w:tcPr>
            <w:tcW w:type="dxa" w:w="4320"/>
          </w:tcPr>
          <w:p>
            <w:r/>
            <w:r>
              <w:rPr>
                <w:rFonts w:ascii="Arial" w:hAnsi="Arial"/>
                <w:b w:val="0"/>
                <w:color w:val="5B6372"/>
                <w:sz w:val="18"/>
              </w:rPr>
              <w:t>Develop project plans based on realistic timelines and resource allocations.</w:t>
            </w:r>
          </w:p>
        </w:tc>
      </w:tr>
      <w:tr>
        <w:tc>
          <w:tcPr>
            <w:tcW w:type="dxa" w:w="4320"/>
            <w:shd w:val="clear" w:fill="E8F0FE"/>
          </w:tcPr>
          <w:p>
            <w:r/>
            <w:r>
              <w:rPr>
                <w:rFonts w:ascii="Arial" w:hAnsi="Arial"/>
                <w:b/>
                <w:color w:val="161B26"/>
                <w:sz w:val="18"/>
              </w:rPr>
              <w:t>LO3</w:t>
            </w:r>
          </w:p>
        </w:tc>
        <w:tc>
          <w:tcPr>
            <w:tcW w:type="dxa" w:w="4320"/>
          </w:tcPr>
          <w:p>
            <w:r/>
            <w:r>
              <w:rPr>
                <w:rFonts w:ascii="Arial" w:hAnsi="Arial"/>
                <w:b w:val="0"/>
                <w:color w:val="5B6372"/>
                <w:sz w:val="18"/>
              </w:rPr>
              <w:t>Implement methodologies effectively to address project exigencies and derive solutions from identified root causes.</w:t>
            </w:r>
          </w:p>
        </w:tc>
      </w:tr>
      <w:tr>
        <w:tc>
          <w:tcPr>
            <w:tcW w:type="dxa" w:w="4320"/>
            <w:shd w:val="clear" w:fill="E8F0FE"/>
          </w:tcPr>
          <w:p>
            <w:r/>
            <w:r>
              <w:rPr>
                <w:rFonts w:ascii="Arial" w:hAnsi="Arial"/>
                <w:b/>
                <w:color w:val="161B26"/>
                <w:sz w:val="18"/>
              </w:rPr>
              <w:t>LO4</w:t>
            </w:r>
          </w:p>
        </w:tc>
        <w:tc>
          <w:tcPr>
            <w:tcW w:type="dxa" w:w="4320"/>
          </w:tcPr>
          <w:p>
            <w:r/>
            <w:r>
              <w:rPr>
                <w:rFonts w:ascii="Arial" w:hAnsi="Arial"/>
                <w:b w:val="0"/>
                <w:color w:val="5B6372"/>
                <w:sz w:val="18"/>
              </w:rPr>
              <w:t>Analyze program risks and engage stakeholders through scheduled touchpoints to discuss potential issues.</w:t>
            </w:r>
          </w:p>
        </w:tc>
      </w:tr>
      <w:tr>
        <w:tc>
          <w:tcPr>
            <w:tcW w:type="dxa" w:w="4320"/>
            <w:shd w:val="clear" w:fill="E8F0FE"/>
          </w:tcPr>
          <w:p>
            <w:r/>
            <w:r>
              <w:rPr>
                <w:rFonts w:ascii="Arial" w:hAnsi="Arial"/>
                <w:b/>
                <w:color w:val="161B26"/>
                <w:sz w:val="18"/>
              </w:rPr>
              <w:t>LO5</w:t>
            </w:r>
          </w:p>
        </w:tc>
        <w:tc>
          <w:tcPr>
            <w:tcW w:type="dxa" w:w="4320"/>
          </w:tcPr>
          <w:p>
            <w:r/>
            <w:r>
              <w:rPr>
                <w:rFonts w:ascii="Arial" w:hAnsi="Arial"/>
                <w:b w:val="0"/>
                <w:color w:val="5B6372"/>
                <w:sz w:val="18"/>
              </w:rPr>
              <w:t>Coordinate project deliverables against set objectives, costs, and timelines, and implement corrective actions.</w:t>
            </w:r>
          </w:p>
        </w:tc>
      </w:tr>
    </w:tbl>
    <w:p>
      <w:pPr>
        <w:pStyle w:val="Heading2"/>
      </w:pPr>
      <w:r>
        <w:t>Examination Content Outline — July 2026</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Domain</w:t>
            </w:r>
          </w:p>
        </w:tc>
        <w:tc>
          <w:tcPr>
            <w:tcW w:type="dxa" w:w="2880"/>
            <w:shd w:val="clear" w:fill="1F6FEB"/>
          </w:tcPr>
          <w:p>
            <w:r/>
            <w:r>
              <w:rPr>
                <w:rFonts w:ascii="Arial" w:hAnsi="Arial"/>
                <w:b/>
                <w:color w:val="FFFFFF"/>
                <w:sz w:val="19"/>
              </w:rPr>
              <w:t>Weighting</w:t>
            </w:r>
          </w:p>
        </w:tc>
        <w:tc>
          <w:tcPr>
            <w:tcW w:type="dxa" w:w="2880"/>
            <w:shd w:val="clear" w:fill="1F6FEB"/>
          </w:tcPr>
          <w:p>
            <w:r/>
            <w:r>
              <w:rPr>
                <w:rFonts w:ascii="Arial" w:hAnsi="Arial"/>
                <w:b/>
                <w:color w:val="FFFFFF"/>
                <w:sz w:val="19"/>
              </w:rPr>
              <w:t>What it covers</w:t>
            </w:r>
          </w:p>
        </w:tc>
      </w:tr>
      <w:tr>
        <w:tc>
          <w:tcPr>
            <w:tcW w:type="dxa" w:w="2880"/>
            <w:shd w:val="clear" w:fill="E8F0FE"/>
          </w:tcPr>
          <w:p>
            <w:r/>
            <w:r>
              <w:rPr>
                <w:rFonts w:ascii="Arial" w:hAnsi="Arial"/>
                <w:b/>
                <w:color w:val="161B26"/>
                <w:sz w:val="18"/>
              </w:rPr>
              <w:t>Domain I. People</w:t>
            </w:r>
          </w:p>
        </w:tc>
        <w:tc>
          <w:tcPr>
            <w:tcW w:type="dxa" w:w="2880"/>
          </w:tcPr>
          <w:p>
            <w:r/>
            <w:r>
              <w:rPr>
                <w:rFonts w:ascii="Arial" w:hAnsi="Arial"/>
                <w:b w:val="0"/>
                <w:color w:val="5B6372"/>
                <w:sz w:val="18"/>
              </w:rPr>
              <w:t>33%</w:t>
            </w:r>
          </w:p>
        </w:tc>
        <w:tc>
          <w:tcPr>
            <w:tcW w:type="dxa" w:w="2880"/>
          </w:tcPr>
          <w:p>
            <w:r/>
            <w:r>
              <w:rPr>
                <w:rFonts w:ascii="Arial" w:hAnsi="Arial"/>
                <w:b w:val="0"/>
                <w:color w:val="5B6372"/>
                <w:sz w:val="18"/>
              </w:rPr>
              <w:t>How you lead, align and communicate with the humans on and around the project.</w:t>
            </w:r>
          </w:p>
        </w:tc>
      </w:tr>
      <w:tr>
        <w:tc>
          <w:tcPr>
            <w:tcW w:type="dxa" w:w="2880"/>
            <w:shd w:val="clear" w:fill="E8F0FE"/>
          </w:tcPr>
          <w:p>
            <w:r/>
            <w:r>
              <w:rPr>
                <w:rFonts w:ascii="Arial" w:hAnsi="Arial"/>
                <w:b/>
                <w:color w:val="161B26"/>
                <w:sz w:val="18"/>
              </w:rPr>
              <w:t>Domain II. Process</w:t>
            </w:r>
          </w:p>
        </w:tc>
        <w:tc>
          <w:tcPr>
            <w:tcW w:type="dxa" w:w="2880"/>
          </w:tcPr>
          <w:p>
            <w:r/>
            <w:r>
              <w:rPr>
                <w:rFonts w:ascii="Arial" w:hAnsi="Arial"/>
                <w:b w:val="0"/>
                <w:color w:val="5B6372"/>
                <w:sz w:val="18"/>
              </w:rPr>
              <w:t>41%</w:t>
            </w:r>
          </w:p>
        </w:tc>
        <w:tc>
          <w:tcPr>
            <w:tcW w:type="dxa" w:w="2880"/>
          </w:tcPr>
          <w:p>
            <w:r/>
            <w:r>
              <w:rPr>
                <w:rFonts w:ascii="Arial" w:hAnsi="Arial"/>
                <w:b w:val="0"/>
                <w:color w:val="5B6372"/>
                <w:sz w:val="18"/>
              </w:rPr>
              <w:t>How you plan, deliver, measure and close the work itself.</w:t>
            </w:r>
          </w:p>
        </w:tc>
      </w:tr>
      <w:tr>
        <w:tc>
          <w:tcPr>
            <w:tcW w:type="dxa" w:w="2880"/>
            <w:shd w:val="clear" w:fill="E8F0FE"/>
          </w:tcPr>
          <w:p>
            <w:r/>
            <w:r>
              <w:rPr>
                <w:rFonts w:ascii="Arial" w:hAnsi="Arial"/>
                <w:b/>
                <w:color w:val="161B26"/>
                <w:sz w:val="18"/>
              </w:rPr>
              <w:t>Domain III. Business Environment</w:t>
            </w:r>
          </w:p>
        </w:tc>
        <w:tc>
          <w:tcPr>
            <w:tcW w:type="dxa" w:w="2880"/>
          </w:tcPr>
          <w:p>
            <w:r/>
            <w:r>
              <w:rPr>
                <w:rFonts w:ascii="Arial" w:hAnsi="Arial"/>
                <w:b w:val="0"/>
                <w:color w:val="5B6372"/>
                <w:sz w:val="18"/>
              </w:rPr>
              <w:t>26%</w:t>
            </w:r>
          </w:p>
        </w:tc>
        <w:tc>
          <w:tcPr>
            <w:tcW w:type="dxa" w:w="2880"/>
          </w:tcPr>
          <w:p>
            <w:r/>
            <w:r>
              <w:rPr>
                <w:rFonts w:ascii="Arial" w:hAnsi="Arial"/>
                <w:b w:val="0"/>
                <w:color w:val="5B6372"/>
                <w:sz w:val="18"/>
              </w:rPr>
              <w:t>How the project connects to governance, compliance, risk and organisational change.</w:t>
            </w:r>
          </w:p>
        </w:tc>
      </w:tr>
    </w:tbl>
    <w:p>
      <w:pPr>
        <w:spacing w:after="120"/>
      </w:pPr>
      <w:r>
        <w:rPr>
          <w:rFonts w:ascii="Arial" w:hAnsi="Arial"/>
          <w:b w:val="0"/>
          <w:color w:val="161B26"/>
          <w:sz w:val="22"/>
        </w:rPr>
        <w:t>Exam format: 180 questions (170 scored, 10 unscored pretest) in 240 minutes. Two 10-minute breaks — the first after the case-study section, the second midway through the independent questions. About 40% predictive; the remaining 60% split between adaptive/agile and hybrid.</w:t>
      </w:r>
    </w:p>
    <w:p>
      <w:pPr>
        <w:pStyle w:val="Heading2"/>
      </w:pPr>
      <w:r>
        <w:t>The Running Case Study</w:t>
      </w:r>
    </w:p>
    <w:p>
      <w:pPr>
        <w:spacing w:after="120"/>
      </w:pPr>
      <w:r>
        <w:rPr>
          <w:rFonts w:ascii="Arial" w:hAnsi="Arial"/>
          <w:b w:val="0"/>
          <w:color w:val="161B26"/>
          <w:sz w:val="22"/>
        </w:rPr>
        <w:t>Every lab builds on the Contoso Training Portal Upgrade — a hybrid project to modernise a training provider's course registration and learner communications. It has a fixed launch date, a limited budget, a mandatory compliance review, and product increments delivered in sprints. Artifacts you produce in early labs become inputs to later ones, so by the capstone you hold a complete project management plan.</w:t>
      </w:r>
    </w:p>
    <w:p>
      <w:r>
        <w:br w:type="page"/>
      </w:r>
    </w:p>
    <w:p>
      <w:pPr>
        <w:pStyle w:val="Heading1"/>
      </w:pPr>
      <w:r>
        <w:t>Topic 1. Business Environment</w:t>
      </w:r>
    </w:p>
    <w:p>
      <w:pPr>
        <w:spacing w:after="120"/>
      </w:pPr>
      <w:r>
        <w:rPr>
          <w:rFonts w:ascii="Arial" w:hAnsi="Arial"/>
          <w:b w:val="0"/>
          <w:color w:val="161B26"/>
          <w:sz w:val="22"/>
        </w:rPr>
        <w:t>Where projects come from, why they are funded, and the governance, compliance and change context they must survive in.</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Business Environment T1</w:t>
            </w:r>
          </w:p>
        </w:tc>
        <w:tc>
          <w:tcPr>
            <w:tcW w:type="dxa" w:w="2880"/>
          </w:tcPr>
          <w:p>
            <w:r/>
            <w:r>
              <w:rPr>
                <w:rFonts w:ascii="Arial" w:hAnsi="Arial"/>
                <w:b w:val="0"/>
                <w:color w:val="5B6372"/>
                <w:sz w:val="18"/>
              </w:rPr>
              <w:t>Define and establish project governance</w:t>
            </w:r>
          </w:p>
        </w:tc>
        <w:tc>
          <w:tcPr>
            <w:tcW w:type="dxa" w:w="2880"/>
          </w:tcPr>
          <w:p>
            <w:r/>
            <w:r>
              <w:rPr>
                <w:rFonts w:ascii="Arial" w:hAnsi="Arial"/>
                <w:b w:val="0"/>
                <w:color w:val="5B6372"/>
                <w:sz w:val="18"/>
              </w:rPr>
              <w:t>Establish structure, rules, procedures, reporting, ethics and policies using OPAs; Define success metrics; Outline governance escalation paths and thresholds</w:t>
            </w:r>
          </w:p>
        </w:tc>
      </w:tr>
      <w:tr>
        <w:tc>
          <w:tcPr>
            <w:tcW w:type="dxa" w:w="2880"/>
            <w:shd w:val="clear" w:fill="E8F0FE"/>
          </w:tcPr>
          <w:p>
            <w:r/>
            <w:r>
              <w:rPr>
                <w:rFonts w:ascii="Arial" w:hAnsi="Arial"/>
                <w:b/>
                <w:color w:val="161B26"/>
                <w:sz w:val="18"/>
              </w:rPr>
              <w:t>Business Environment T2</w:t>
            </w:r>
          </w:p>
        </w:tc>
        <w:tc>
          <w:tcPr>
            <w:tcW w:type="dxa" w:w="2880"/>
          </w:tcPr>
          <w:p>
            <w:r/>
            <w:r>
              <w:rPr>
                <w:rFonts w:ascii="Arial" w:hAnsi="Arial"/>
                <w:b w:val="0"/>
                <w:color w:val="5B6372"/>
                <w:sz w:val="18"/>
              </w:rPr>
              <w:t>Plan and manage project compliance</w:t>
            </w:r>
          </w:p>
        </w:tc>
        <w:tc>
          <w:tcPr>
            <w:tcW w:type="dxa" w:w="2880"/>
          </w:tcPr>
          <w:p>
            <w:r/>
            <w:r>
              <w:rPr>
                <w:rFonts w:ascii="Arial" w:hAnsi="Arial"/>
                <w:b w:val="0"/>
                <w:color w:val="5B6372"/>
                <w:sz w:val="18"/>
              </w:rPr>
              <w:t>Confirm compliance requirements (security, health and safety, sustainability, regulatory); Classify compliance categories; Determine potential threats to compliance; Use methods to support compliance; Analyze the consequences of noncompliance; Determine the approach and actions to address compliance needs; Measure the extent to which the project is in compliance</w:t>
            </w:r>
          </w:p>
        </w:tc>
      </w:tr>
      <w:tr>
        <w:tc>
          <w:tcPr>
            <w:tcW w:type="dxa" w:w="2880"/>
            <w:shd w:val="clear" w:fill="E8F0FE"/>
          </w:tcPr>
          <w:p>
            <w:r/>
            <w:r>
              <w:rPr>
                <w:rFonts w:ascii="Arial" w:hAnsi="Arial"/>
                <w:b/>
                <w:color w:val="161B26"/>
                <w:sz w:val="18"/>
              </w:rPr>
              <w:t>Business Environment T7</w:t>
            </w:r>
          </w:p>
        </w:tc>
        <w:tc>
          <w:tcPr>
            <w:tcW w:type="dxa" w:w="2880"/>
          </w:tcPr>
          <w:p>
            <w:r/>
            <w:r>
              <w:rPr>
                <w:rFonts w:ascii="Arial" w:hAnsi="Arial"/>
                <w:b w:val="0"/>
                <w:color w:val="5B6372"/>
                <w:sz w:val="18"/>
              </w:rPr>
              <w:t>Support organizational change</w:t>
            </w:r>
          </w:p>
        </w:tc>
        <w:tc>
          <w:tcPr>
            <w:tcW w:type="dxa" w:w="2880"/>
          </w:tcPr>
          <w:p>
            <w:r/>
            <w:r>
              <w:rPr>
                <w:rFonts w:ascii="Arial" w:hAnsi="Arial"/>
                <w:b w:val="0"/>
                <w:color w:val="5B6372"/>
                <w:sz w:val="18"/>
              </w:rPr>
              <w:t>Assess organizational culture; Evaluate the impact of organizational change on the project and determine actions</w:t>
            </w:r>
          </w:p>
        </w:tc>
      </w:tr>
      <w:tr>
        <w:tc>
          <w:tcPr>
            <w:tcW w:type="dxa" w:w="2880"/>
            <w:shd w:val="clear" w:fill="E8F0FE"/>
          </w:tcPr>
          <w:p>
            <w:r/>
            <w:r>
              <w:rPr>
                <w:rFonts w:ascii="Arial" w:hAnsi="Arial"/>
                <w:b/>
                <w:color w:val="161B26"/>
                <w:sz w:val="18"/>
              </w:rPr>
              <w:t>Business Environment T8</w:t>
            </w:r>
          </w:p>
        </w:tc>
        <w:tc>
          <w:tcPr>
            <w:tcW w:type="dxa" w:w="2880"/>
          </w:tcPr>
          <w:p>
            <w:r/>
            <w:r>
              <w:rPr>
                <w:rFonts w:ascii="Arial" w:hAnsi="Arial"/>
                <w:b w:val="0"/>
                <w:color w:val="5B6372"/>
                <w:sz w:val="18"/>
              </w:rPr>
              <w:t>Evaluate external business environment changes</w:t>
            </w:r>
          </w:p>
        </w:tc>
        <w:tc>
          <w:tcPr>
            <w:tcW w:type="dxa" w:w="2880"/>
          </w:tcPr>
          <w:p>
            <w:r/>
            <w:r>
              <w:rPr>
                <w:rFonts w:ascii="Arial" w:hAnsi="Arial"/>
                <w:b w:val="0"/>
                <w:color w:val="5B6372"/>
                <w:sz w:val="18"/>
              </w:rPr>
              <w:t>Survey changes to the external business environment (regulations, technology, geopolitical, market); Assess and prioritize impact on project scope/backlog; Continually review the external business environment for impacts</w:t>
            </w:r>
          </w:p>
        </w:tc>
      </w:tr>
      <w:tr>
        <w:tc>
          <w:tcPr>
            <w:tcW w:type="dxa" w:w="2880"/>
            <w:shd w:val="clear" w:fill="E8F0FE"/>
          </w:tcPr>
          <w:p>
            <w:r/>
            <w:r>
              <w:rPr>
                <w:rFonts w:ascii="Arial" w:hAnsi="Arial"/>
                <w:b/>
                <w:color w:val="161B26"/>
                <w:sz w:val="18"/>
              </w:rPr>
              <w:t>Process T3</w:t>
            </w:r>
          </w:p>
        </w:tc>
        <w:tc>
          <w:tcPr>
            <w:tcW w:type="dxa" w:w="2880"/>
          </w:tcPr>
          <w:p>
            <w:r/>
            <w:r>
              <w:rPr>
                <w:rFonts w:ascii="Arial" w:hAnsi="Arial"/>
                <w:b w:val="0"/>
                <w:color w:val="5B6372"/>
                <w:sz w:val="18"/>
              </w:rPr>
              <w:t>Help ensure value-based delivery</w:t>
            </w:r>
          </w:p>
        </w:tc>
        <w:tc>
          <w:tcPr>
            <w:tcW w:type="dxa" w:w="2880"/>
          </w:tcPr>
          <w:p>
            <w:r/>
            <w:r>
              <w:rPr>
                <w:rFonts w:ascii="Arial" w:hAnsi="Arial"/>
                <w:b w:val="0"/>
                <w:color w:val="5B6372"/>
                <w:sz w:val="18"/>
              </w:rPr>
              <w:t>Identify value components with key stakeholders; Prioritize work based on value and stakeholder feedback; Assess opportunities to deliver value incrementally; Examine the business value throughout the project; Verify a measurement system is in place to track benefits; Evaluate delivery options to demonstrate value</w:t>
            </w:r>
          </w:p>
        </w:tc>
      </w:tr>
    </w:tbl>
    <w:p>
      <w:pPr>
        <w:pStyle w:val="Heading2"/>
      </w:pPr>
      <w:r>
        <w:t>What This Topic Covers</w:t>
      </w:r>
    </w:p>
    <w:p>
      <w:pPr>
        <w:pStyle w:val="ListBullet"/>
      </w:pPr>
      <w:r>
        <w:rPr>
          <w:rFonts w:ascii="Arial" w:hAnsi="Arial"/>
          <w:sz w:val="22"/>
        </w:rPr>
        <w:t>Foundation and project fundamentals</w:t>
      </w:r>
    </w:p>
    <w:p>
      <w:pPr>
        <w:pStyle w:val="ListBullet"/>
      </w:pPr>
      <w:r>
        <w:rPr>
          <w:rFonts w:ascii="Arial" w:hAnsi="Arial"/>
          <w:sz w:val="22"/>
        </w:rPr>
        <w:t>Strategic alignment and business value</w:t>
      </w:r>
    </w:p>
    <w:p>
      <w:pPr>
        <w:pStyle w:val="ListBullet"/>
      </w:pPr>
      <w:r>
        <w:rPr>
          <w:rFonts w:ascii="Arial" w:hAnsi="Arial"/>
          <w:sz w:val="22"/>
        </w:rPr>
        <w:t>Development approaches: predictive, agile, hybrid</w:t>
      </w:r>
    </w:p>
    <w:p>
      <w:pPr>
        <w:pStyle w:val="ListBullet"/>
      </w:pPr>
      <w:r>
        <w:rPr>
          <w:rFonts w:ascii="Arial" w:hAnsi="Arial"/>
          <w:sz w:val="22"/>
        </w:rPr>
        <w:t>Organisational culture and change management</w:t>
      </w:r>
    </w:p>
    <w:p>
      <w:pPr>
        <w:pStyle w:val="ListBullet"/>
      </w:pPr>
      <w:r>
        <w:rPr>
          <w:rFonts w:ascii="Arial" w:hAnsi="Arial"/>
          <w:sz w:val="22"/>
        </w:rPr>
        <w:t>Project governance and escalation</w:t>
      </w:r>
    </w:p>
    <w:p>
      <w:pPr>
        <w:pStyle w:val="ListBullet"/>
      </w:pPr>
      <w:r>
        <w:rPr>
          <w:rFonts w:ascii="Arial" w:hAnsi="Arial"/>
          <w:sz w:val="22"/>
        </w:rPr>
        <w:t>Compliance, sustainability and AI in projects</w:t>
      </w:r>
    </w:p>
    <w:p>
      <w:pPr>
        <w:pStyle w:val="Heading2"/>
      </w:pPr>
      <w:r>
        <w:t>What a project is, and why that definition matters</w:t>
      </w:r>
    </w:p>
    <w:p>
      <w:pPr>
        <w:spacing w:after="120"/>
      </w:pPr>
      <w:r>
        <w:rPr>
          <w:rFonts w:ascii="Arial" w:hAnsi="Arial"/>
          <w:b w:val="0"/>
          <w:color w:val="161B26"/>
          <w:sz w:val="22"/>
        </w:rPr>
        <w:t>A project is a temporary endeavour undertaken to create a unique product, service or result. Two words carry the weight. *Temporary* means it has a definite beginning and end — it is not the ongoing operation that follows. *Unique* means the deliverable differs in some material way from what came before; if you are producing the same thing repeatedly, that is operations, not a project. The exam tests this boundary constantly: maintaining a running payroll system is operations, replacing it is a project.</w:t>
      </w:r>
    </w:p>
    <w:p>
      <w:pPr>
        <w:pStyle w:val="ListBullet"/>
      </w:pPr>
      <w:r>
        <w:rPr>
          <w:rFonts w:ascii="Arial" w:hAnsi="Arial"/>
          <w:sz w:val="22"/>
        </w:rPr>
        <w:t>Temporary — a defined start and finish, not perpetual</w:t>
      </w:r>
    </w:p>
    <w:p>
      <w:pPr>
        <w:pStyle w:val="ListBullet"/>
      </w:pPr>
      <w:r>
        <w:rPr>
          <w:rFonts w:ascii="Arial" w:hAnsi="Arial"/>
          <w:sz w:val="22"/>
        </w:rPr>
        <w:t>Unique — the output differs materially from previous outputs</w:t>
      </w:r>
    </w:p>
    <w:p>
      <w:pPr>
        <w:pStyle w:val="ListBullet"/>
      </w:pPr>
      <w:r>
        <w:rPr>
          <w:rFonts w:ascii="Arial" w:hAnsi="Arial"/>
          <w:sz w:val="22"/>
        </w:rPr>
        <w:t>Progressive elaboration — detail increases as the project advances</w:t>
      </w:r>
    </w:p>
    <w:p>
      <w:pPr>
        <w:pStyle w:val="ListBullet"/>
      </w:pPr>
      <w:r>
        <w:rPr>
          <w:rFonts w:ascii="Arial" w:hAnsi="Arial"/>
          <w:sz w:val="22"/>
        </w:rPr>
        <w:t>Delivers business value, which is the reason it was funded at all</w:t>
      </w:r>
    </w:p>
    <w:p>
      <w:pPr>
        <w:pStyle w:val="Heading2"/>
      </w:pPr>
      <w:r>
        <w:t>The triple constraint and why quality sits in the middle</w:t>
      </w:r>
    </w:p>
    <w:p>
      <w:pPr>
        <w:spacing w:after="120"/>
      </w:pPr>
      <w:r>
        <w:rPr>
          <w:rFonts w:ascii="Arial" w:hAnsi="Arial"/>
          <w:b w:val="0"/>
          <w:color w:val="161B26"/>
          <w:sz w:val="22"/>
        </w:rPr>
        <w:t>Scope, time and cost form the classic triangle, with quality dependent on all three. Change any one and at least one other must move, or quality absorbs the damage. In practice this is the single most useful conversation tool a project manager has: when a stakeholder asks for more scope at a fixed date and budget, the triangle is what you draw. Modern practice extends this to six constraints — scope, schedule, cost, quality, resources and risk.</w:t>
      </w:r>
    </w:p>
    <w:p>
      <w:pPr>
        <w:pStyle w:val="ListBullet"/>
      </w:pPr>
      <w:r>
        <w:rPr>
          <w:rFonts w:ascii="Arial" w:hAnsi="Arial"/>
          <w:sz w:val="22"/>
        </w:rPr>
        <w:t>Increase scope with fixed time and cost, and quality falls</w:t>
      </w:r>
    </w:p>
    <w:p>
      <w:pPr>
        <w:pStyle w:val="ListBullet"/>
      </w:pPr>
      <w:r>
        <w:rPr>
          <w:rFonts w:ascii="Arial" w:hAnsi="Arial"/>
          <w:sz w:val="22"/>
        </w:rPr>
        <w:t>Compress schedule, and cost rises (crashing) or risk rises (fast tracking)</w:t>
      </w:r>
    </w:p>
    <w:p>
      <w:pPr>
        <w:pStyle w:val="ListBullet"/>
      </w:pPr>
      <w:r>
        <w:rPr>
          <w:rFonts w:ascii="Arial" w:hAnsi="Arial"/>
          <w:sz w:val="22"/>
        </w:rPr>
        <w:t>Cut budget, and either scope or quality must give</w:t>
      </w:r>
    </w:p>
    <w:p>
      <w:pPr>
        <w:pStyle w:val="ListBullet"/>
      </w:pPr>
      <w:r>
        <w:rPr>
          <w:rFonts w:ascii="Arial" w:hAnsi="Arial"/>
          <w:sz w:val="22"/>
        </w:rPr>
        <w:t>Never silently absorb a change — make the trade-off explicit and documented</w:t>
      </w:r>
    </w:p>
    <w:p>
      <w:pPr>
        <w:pStyle w:val="Heading2"/>
      </w:pPr>
      <w:r>
        <w:t>Development approaches across the value delivery spectrum</w:t>
      </w:r>
    </w:p>
    <w:p>
      <w:pPr>
        <w:spacing w:after="120"/>
      </w:pPr>
      <w:r>
        <w:rPr>
          <w:rFonts w:ascii="Arial" w:hAnsi="Arial"/>
          <w:b w:val="0"/>
          <w:color w:val="161B26"/>
          <w:sz w:val="22"/>
        </w:rPr>
        <w:t>Predictive (waterfall) approaches plan scope thoroughly up front and control change formally; they suit stable requirements and high-compliance environments. Adaptive (agile) approaches accept that requirements will emerge, and deliver in short increments so feedback arrives early. Hybrid blends them — for example, a fixed regulatory scope delivered predictively alongside a user-facing component delivered in sprints. The July 2026 exam splits roughly 40% predictive, 60% adaptive and hybrid, so you cannot pass on waterfall knowledge alone.</w:t>
      </w:r>
    </w:p>
    <w:p>
      <w:pPr>
        <w:pStyle w:val="ListBullet"/>
      </w:pPr>
      <w:r>
        <w:rPr>
          <w:rFonts w:ascii="Arial" w:hAnsi="Arial"/>
          <w:sz w:val="22"/>
        </w:rPr>
        <w:t>Predictive — scope fixed early, change via formal change control</w:t>
      </w:r>
    </w:p>
    <w:p>
      <w:pPr>
        <w:pStyle w:val="ListBullet"/>
      </w:pPr>
      <w:r>
        <w:rPr>
          <w:rFonts w:ascii="Arial" w:hAnsi="Arial"/>
          <w:sz w:val="22"/>
        </w:rPr>
        <w:t>Iterative — repeated cycles refine the same deliverable</w:t>
      </w:r>
    </w:p>
    <w:p>
      <w:pPr>
        <w:pStyle w:val="ListBullet"/>
      </w:pPr>
      <w:r>
        <w:rPr>
          <w:rFonts w:ascii="Arial" w:hAnsi="Arial"/>
          <w:sz w:val="22"/>
        </w:rPr>
        <w:t>Incremental — successive slices each add usable functionality</w:t>
      </w:r>
    </w:p>
    <w:p>
      <w:pPr>
        <w:pStyle w:val="ListBullet"/>
      </w:pPr>
      <w:r>
        <w:rPr>
          <w:rFonts w:ascii="Arial" w:hAnsi="Arial"/>
          <w:sz w:val="22"/>
        </w:rPr>
        <w:t>Agile — both iterative and incremental, with continuous feedback</w:t>
      </w:r>
    </w:p>
    <w:p>
      <w:pPr>
        <w:pStyle w:val="ListBullet"/>
      </w:pPr>
      <w:r>
        <w:rPr>
          <w:rFonts w:ascii="Arial" w:hAnsi="Arial"/>
          <w:sz w:val="22"/>
        </w:rPr>
        <w:t>Hybrid — deliberately combines approaches per component</w:t>
      </w:r>
    </w:p>
    <w:p>
      <w:pPr>
        <w:pStyle w:val="Heading2"/>
      </w:pPr>
      <w:r>
        <w:t>Enterprise environmental factors and organisational process assets</w:t>
      </w:r>
    </w:p>
    <w:p>
      <w:pPr>
        <w:spacing w:after="120"/>
      </w:pPr>
      <w:r>
        <w:rPr>
          <w:rFonts w:ascii="Arial" w:hAnsi="Arial"/>
          <w:b w:val="0"/>
          <w:color w:val="161B26"/>
          <w:sz w:val="22"/>
        </w:rPr>
        <w:t>EEFs are conditions you do not control but must work within: market conditions, regulation, organisational culture, the infrastructure you are handed. OPAs are the assets your organisation gives you to reuse: templates, historical data, lessons learned, procurement rules, defined processes. The exam distinction is simple but heavily tested — EEFs constrain you, OPAs help you.</w:t>
      </w:r>
    </w:p>
    <w:p>
      <w:pPr>
        <w:pStyle w:val="ListBullet"/>
      </w:pPr>
      <w:r>
        <w:rPr>
          <w:rFonts w:ascii="Arial" w:hAnsi="Arial"/>
          <w:sz w:val="22"/>
        </w:rPr>
        <w:t>EEF internal — culture, structure, existing systems, staff capability</w:t>
      </w:r>
    </w:p>
    <w:p>
      <w:pPr>
        <w:pStyle w:val="ListBullet"/>
      </w:pPr>
      <w:r>
        <w:rPr>
          <w:rFonts w:ascii="Arial" w:hAnsi="Arial"/>
          <w:sz w:val="22"/>
        </w:rPr>
        <w:t>EEF external — regulation, market conditions, standards, geopolitics</w:t>
      </w:r>
    </w:p>
    <w:p>
      <w:pPr>
        <w:pStyle w:val="ListBullet"/>
      </w:pPr>
      <w:r>
        <w:rPr>
          <w:rFonts w:ascii="Arial" w:hAnsi="Arial"/>
          <w:sz w:val="22"/>
        </w:rPr>
        <w:t>OPA processes — policies, procedures, templates, defined workflows</w:t>
      </w:r>
    </w:p>
    <w:p>
      <w:pPr>
        <w:pStyle w:val="ListBullet"/>
      </w:pPr>
      <w:r>
        <w:rPr>
          <w:rFonts w:ascii="Arial" w:hAnsi="Arial"/>
          <w:sz w:val="22"/>
        </w:rPr>
        <w:t>OPA knowledge — historical data, lessons learned, estimating databases</w:t>
      </w:r>
    </w:p>
    <w:p>
      <w:pPr>
        <w:pStyle w:val="Heading2"/>
      </w:pPr>
      <w:r>
        <w:t>Governance, escalation and phase gates</w:t>
      </w:r>
    </w:p>
    <w:p>
      <w:pPr>
        <w:spacing w:after="120"/>
      </w:pPr>
      <w:r>
        <w:rPr>
          <w:rFonts w:ascii="Arial" w:hAnsi="Arial"/>
          <w:b w:val="0"/>
          <w:color w:val="161B26"/>
          <w:sz w:val="22"/>
        </w:rPr>
        <w:t>Governance is the framework of authority: who decides what, within which thresholds, and what happens when a threshold is breached. A governance board or steering committee provides oversight; the project manager operates within delegated tolerances. When a problem exceeds your tolerance — a cost overrun beyond the agreed percentage, a risk above the agreed severity — you escalate. Phase gates are the scheduled decision points where the project is formally reviewed and authorised to continue, be redirected, or be stopped.</w:t>
      </w:r>
    </w:p>
    <w:p>
      <w:pPr>
        <w:pStyle w:val="ListBullet"/>
      </w:pPr>
      <w:r>
        <w:rPr>
          <w:rFonts w:ascii="Arial" w:hAnsi="Arial"/>
          <w:sz w:val="22"/>
        </w:rPr>
        <w:t>Define escalation thresholds BEFORE you need them</w:t>
      </w:r>
    </w:p>
    <w:p>
      <w:pPr>
        <w:pStyle w:val="ListBullet"/>
      </w:pPr>
      <w:r>
        <w:rPr>
          <w:rFonts w:ascii="Arial" w:hAnsi="Arial"/>
          <w:sz w:val="22"/>
        </w:rPr>
        <w:t>Escalating within an agreed threshold is competence, not failure</w:t>
      </w:r>
    </w:p>
    <w:p>
      <w:pPr>
        <w:pStyle w:val="ListBullet"/>
      </w:pPr>
      <w:r>
        <w:rPr>
          <w:rFonts w:ascii="Arial" w:hAnsi="Arial"/>
          <w:sz w:val="22"/>
        </w:rPr>
        <w:t>Phase gates permit a go / no-go decision, including cancellation</w:t>
      </w:r>
    </w:p>
    <w:p>
      <w:pPr>
        <w:pStyle w:val="ListBullet"/>
      </w:pPr>
      <w:r>
        <w:rPr>
          <w:rFonts w:ascii="Arial" w:hAnsi="Arial"/>
          <w:sz w:val="22"/>
        </w:rPr>
        <w:t>Governance defines success metrics, not just spending limits</w:t>
      </w:r>
    </w:p>
    <w:p>
      <w:pPr>
        <w:pStyle w:val="Heading2"/>
      </w:pPr>
      <w:r>
        <w:t>Compliance, sustainability and AI — the 2026 additions</w:t>
      </w:r>
    </w:p>
    <w:p>
      <w:pPr>
        <w:spacing w:after="120"/>
      </w:pPr>
      <w:r>
        <w:rPr>
          <w:rFonts w:ascii="Arial" w:hAnsi="Arial"/>
          <w:b w:val="0"/>
          <w:color w:val="161B26"/>
          <w:sz w:val="22"/>
        </w:rPr>
        <w:t>The July 2026 outline raised Business Environment from 8% to 26% of the exam and named sustainability explicitly across compliance, cost of quality and risk response. Compliance is no longer only legal and regulatory: environmental impact, workplace health and safety, ethical practice and data security all sit inside the compliance envelope. Artificial intelligence enters as both a tool (estimation, risk detection, reporting) and a governance concern (bias, explainability, data protection).</w:t>
      </w:r>
    </w:p>
    <w:p>
      <w:pPr>
        <w:pStyle w:val="ListBullet"/>
      </w:pPr>
      <w:r>
        <w:rPr>
          <w:rFonts w:ascii="Arial" w:hAnsi="Arial"/>
          <w:sz w:val="22"/>
        </w:rPr>
        <w:t>Classify compliance categories, then assess threats to each</w:t>
      </w:r>
    </w:p>
    <w:p>
      <w:pPr>
        <w:pStyle w:val="ListBullet"/>
      </w:pPr>
      <w:r>
        <w:rPr>
          <w:rFonts w:ascii="Arial" w:hAnsi="Arial"/>
          <w:sz w:val="22"/>
        </w:rPr>
        <w:t>Analyse the consequences of non-compliance, not just the requirement</w:t>
      </w:r>
    </w:p>
    <w:p>
      <w:pPr>
        <w:pStyle w:val="ListBullet"/>
      </w:pPr>
      <w:r>
        <w:rPr>
          <w:rFonts w:ascii="Arial" w:hAnsi="Arial"/>
          <w:sz w:val="22"/>
        </w:rPr>
        <w:t>Measure the extent of compliance — it is a metric, not a binary</w:t>
      </w:r>
    </w:p>
    <w:p>
      <w:pPr>
        <w:pStyle w:val="ListBullet"/>
      </w:pPr>
      <w:r>
        <w:rPr>
          <w:rFonts w:ascii="Arial" w:hAnsi="Arial"/>
          <w:sz w:val="22"/>
        </w:rPr>
        <w:t>AI used on a project needs its own governance and audit trail</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01</w:t>
            </w:r>
          </w:p>
        </w:tc>
        <w:tc>
          <w:tcPr>
            <w:tcW w:type="dxa" w:w="1234"/>
          </w:tcPr>
          <w:p>
            <w:r>
              <w:t>PMP Exam Orientation and Study Plan</w:t>
            </w:r>
          </w:p>
        </w:tc>
        <w:tc>
          <w:tcPr>
            <w:tcW w:type="dxa" w:w="1234"/>
          </w:tcPr>
          <w:p>
            <w:r/>
            <w:r>
              <w:rPr>
                <w:rFonts w:ascii="Arial" w:hAnsi="Arial"/>
                <w:b w:val="0"/>
                <w:color w:val="5B6372"/>
                <w:sz w:val="18"/>
              </w:rPr>
              <w:t>All domains</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Personal study plan, Domain self-assessment</w:t>
            </w:r>
          </w:p>
        </w:tc>
      </w:tr>
      <w:tr>
        <w:tc>
          <w:tcPr>
            <w:tcW w:type="dxa" w:w="1234"/>
            <w:shd w:val="clear" w:fill="E8F0FE"/>
          </w:tcPr>
          <w:p>
            <w:r/>
            <w:r>
              <w:rPr>
                <w:rFonts w:ascii="Arial" w:hAnsi="Arial"/>
                <w:b/>
                <w:color w:val="161B26"/>
                <w:sz w:val="18"/>
              </w:rPr>
              <w:t>02</w:t>
            </w:r>
          </w:p>
        </w:tc>
        <w:tc>
          <w:tcPr>
            <w:tcW w:type="dxa" w:w="1234"/>
          </w:tcPr>
          <w:p>
            <w:r/>
            <w:r>
              <w:rPr>
                <w:rFonts w:ascii="Arial" w:hAnsi="Arial"/>
                <w:b w:val="0"/>
                <w:color w:val="5B6372"/>
                <w:sz w:val="18"/>
              </w:rPr>
              <w:t>PESTLE and TECOP External Environment Scan</w:t>
            </w:r>
          </w:p>
        </w:tc>
        <w:tc>
          <w:tcPr>
            <w:tcW w:type="dxa" w:w="1234"/>
          </w:tcPr>
          <w:p>
            <w:r/>
            <w:r>
              <w:rPr>
                <w:rFonts w:ascii="Arial" w:hAnsi="Arial"/>
                <w:b w:val="0"/>
                <w:color w:val="5B6372"/>
                <w:sz w:val="18"/>
              </w:rPr>
              <w:t>BE T8</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PESTLE scan, TECOP risk themes</w:t>
            </w:r>
          </w:p>
        </w:tc>
      </w:tr>
      <w:tr>
        <w:tc>
          <w:tcPr>
            <w:tcW w:type="dxa" w:w="1234"/>
            <w:shd w:val="clear" w:fill="E8F0FE"/>
          </w:tcPr>
          <w:p>
            <w:r/>
            <w:r>
              <w:rPr>
                <w:rFonts w:ascii="Arial" w:hAnsi="Arial"/>
                <w:b/>
                <w:color w:val="161B26"/>
                <w:sz w:val="18"/>
              </w:rPr>
              <w:t>03</w:t>
            </w:r>
          </w:p>
        </w:tc>
        <w:tc>
          <w:tcPr>
            <w:tcW w:type="dxa" w:w="1234"/>
          </w:tcPr>
          <w:p>
            <w:r/>
            <w:r>
              <w:rPr>
                <w:rFonts w:ascii="Arial" w:hAnsi="Arial"/>
                <w:b w:val="0"/>
                <w:color w:val="5B6372"/>
                <w:sz w:val="18"/>
              </w:rPr>
              <w:t>EEF/OPA Inventory with Governance and Escalation Thresholds</w:t>
            </w:r>
          </w:p>
        </w:tc>
        <w:tc>
          <w:tcPr>
            <w:tcW w:type="dxa" w:w="1234"/>
          </w:tcPr>
          <w:p>
            <w:r/>
            <w:r>
              <w:rPr>
                <w:rFonts w:ascii="Arial" w:hAnsi="Arial"/>
                <w:b w:val="0"/>
                <w:color w:val="5B6372"/>
                <w:sz w:val="18"/>
              </w:rPr>
              <w:t>BE T1</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EEF/OPA inventory, Escalation threshold table</w:t>
            </w:r>
          </w:p>
        </w:tc>
      </w:tr>
      <w:tr>
        <w:tc>
          <w:tcPr>
            <w:tcW w:type="dxa" w:w="1234"/>
            <w:shd w:val="clear" w:fill="E8F0FE"/>
          </w:tcPr>
          <w:p>
            <w:r/>
            <w:r>
              <w:rPr>
                <w:rFonts w:ascii="Arial" w:hAnsi="Arial"/>
                <w:b/>
                <w:color w:val="161B26"/>
                <w:sz w:val="18"/>
              </w:rPr>
              <w:t>04</w:t>
            </w:r>
          </w:p>
        </w:tc>
        <w:tc>
          <w:tcPr>
            <w:tcW w:type="dxa" w:w="1234"/>
          </w:tcPr>
          <w:p>
            <w:r/>
            <w:r>
              <w:rPr>
                <w:rFonts w:ascii="Arial" w:hAnsi="Arial"/>
                <w:b w:val="0"/>
                <w:color w:val="5B6372"/>
                <w:sz w:val="18"/>
              </w:rPr>
              <w:t>Compliance, Sustainability and AI Governance Register</w:t>
            </w:r>
          </w:p>
        </w:tc>
        <w:tc>
          <w:tcPr>
            <w:tcW w:type="dxa" w:w="1234"/>
          </w:tcPr>
          <w:p>
            <w:r/>
            <w:r>
              <w:rPr>
                <w:rFonts w:ascii="Arial" w:hAnsi="Arial"/>
                <w:b w:val="0"/>
                <w:color w:val="5B6372"/>
                <w:sz w:val="18"/>
              </w:rPr>
              <w:t>BE T2</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Compliance register, AI governance controls</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Distinguish a project from operations, and give an example of each from your own workplace.</w:t>
      </w:r>
    </w:p>
    <w:p>
      <w:pPr>
        <w:pStyle w:val="ListNumber"/>
      </w:pPr>
      <w:r>
        <w:rPr>
          <w:rFonts w:ascii="Arial" w:hAnsi="Arial"/>
          <w:sz w:val="22"/>
        </w:rPr>
        <w:t>Your sponsor asks for additional scope while holding the date and budget fixed. Explain the trade-off using the triple constraint.</w:t>
      </w:r>
    </w:p>
    <w:p>
      <w:pPr>
        <w:pStyle w:val="ListNumber"/>
      </w:pPr>
      <w:r>
        <w:rPr>
          <w:rFonts w:ascii="Arial" w:hAnsi="Arial"/>
          <w:sz w:val="22"/>
        </w:rPr>
        <w:t>Classify each of the following as an EEF or an OPA: a lessons-learned database, a new data-protection regulation, the organisation's procurement policy, the existing IT infrastructure.</w:t>
      </w:r>
    </w:p>
    <w:p>
      <w:pPr>
        <w:pStyle w:val="ListNumber"/>
      </w:pPr>
      <w:r>
        <w:rPr>
          <w:rFonts w:ascii="Arial" w:hAnsi="Arial"/>
          <w:sz w:val="22"/>
        </w:rPr>
        <w:t>What is the difference between a governance escalation threshold and a phase gate?</w:t>
      </w:r>
    </w:p>
    <w:p>
      <w:pPr>
        <w:pStyle w:val="ListNumber"/>
      </w:pPr>
      <w:r>
        <w:rPr>
          <w:rFonts w:ascii="Arial" w:hAnsi="Arial"/>
          <w:sz w:val="22"/>
        </w:rPr>
        <w:t>Name three compliance categories beyond legal and regulatory that the 2026 outline expects you to consider.</w:t>
      </w:r>
    </w:p>
    <w:p>
      <w:pPr>
        <w:pStyle w:val="ListNumber"/>
      </w:pPr>
      <w:r>
        <w:rPr>
          <w:rFonts w:ascii="Arial" w:hAnsi="Arial"/>
          <w:sz w:val="22"/>
        </w:rPr>
        <w:t>How does the July 2026 exam update change the weighting of Business Environment, and why does that matter for your study plan?</w:t>
      </w:r>
    </w:p>
    <w:p>
      <w:r>
        <w:br w:type="page"/>
      </w:r>
    </w:p>
    <w:p>
      <w:pPr>
        <w:pStyle w:val="Heading1"/>
      </w:pPr>
      <w:r>
        <w:t>Topic 2. Start the Project</w:t>
      </w:r>
    </w:p>
    <w:p>
      <w:pPr>
        <w:spacing w:after="120"/>
      </w:pPr>
      <w:r>
        <w:rPr>
          <w:rFonts w:ascii="Arial" w:hAnsi="Arial"/>
          <w:b w:val="0"/>
          <w:color w:val="161B26"/>
          <w:sz w:val="22"/>
        </w:rPr>
        <w:t>Turning an idea into an authorised project: the business case, the charter, the stakeholders and the team.</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People T1</w:t>
            </w:r>
          </w:p>
        </w:tc>
        <w:tc>
          <w:tcPr>
            <w:tcW w:type="dxa" w:w="2880"/>
          </w:tcPr>
          <w:p>
            <w:r/>
            <w:r>
              <w:rPr>
                <w:rFonts w:ascii="Arial" w:hAnsi="Arial"/>
                <w:b w:val="0"/>
                <w:color w:val="5B6372"/>
                <w:sz w:val="18"/>
              </w:rPr>
              <w:t>Develop a common vision</w:t>
            </w:r>
          </w:p>
        </w:tc>
        <w:tc>
          <w:tcPr>
            <w:tcW w:type="dxa" w:w="2880"/>
          </w:tcPr>
          <w:p>
            <w:r/>
            <w:r>
              <w:rPr>
                <w:rFonts w:ascii="Arial" w:hAnsi="Arial"/>
                <w:b w:val="0"/>
                <w:color w:val="5B6372"/>
                <w:sz w:val="18"/>
              </w:rPr>
              <w:t>Help ensure a shared vision with key stakeholders; Promote the shared vision; Keep the vision current; Break down situations to identify the root cause of a misunderstanding of the vision</w:t>
            </w:r>
          </w:p>
        </w:tc>
      </w:tr>
      <w:tr>
        <w:tc>
          <w:tcPr>
            <w:tcW w:type="dxa" w:w="2880"/>
            <w:shd w:val="clear" w:fill="E8F0FE"/>
          </w:tcPr>
          <w:p>
            <w:r/>
            <w:r>
              <w:rPr>
                <w:rFonts w:ascii="Arial" w:hAnsi="Arial"/>
                <w:b/>
                <w:color w:val="161B26"/>
                <w:sz w:val="18"/>
              </w:rPr>
              <w:t>People T4</w:t>
            </w:r>
          </w:p>
        </w:tc>
        <w:tc>
          <w:tcPr>
            <w:tcW w:type="dxa" w:w="2880"/>
          </w:tcPr>
          <w:p>
            <w:r/>
            <w:r>
              <w:rPr>
                <w:rFonts w:ascii="Arial" w:hAnsi="Arial"/>
                <w:b w:val="0"/>
                <w:color w:val="5B6372"/>
                <w:sz w:val="18"/>
              </w:rPr>
              <w:t>Engage stakeholders</w:t>
            </w:r>
          </w:p>
        </w:tc>
        <w:tc>
          <w:tcPr>
            <w:tcW w:type="dxa" w:w="2880"/>
          </w:tcPr>
          <w:p>
            <w:r/>
            <w:r>
              <w:rPr>
                <w:rFonts w:ascii="Arial" w:hAnsi="Arial"/>
                <w:b w:val="0"/>
                <w:color w:val="5B6372"/>
                <w:sz w:val="18"/>
              </w:rPr>
              <w:t>Identify stakeholders; Analyze stakeholders; Analyze and tailor communication to stakeholder needs; Execute the stakeholder engagement plan; Optimize alignment among stakeholder needs, expectations, and project objectives; Build trust and influence stakeholders to accomplish project objectives</w:t>
            </w:r>
          </w:p>
        </w:tc>
      </w:tr>
      <w:tr>
        <w:tc>
          <w:tcPr>
            <w:tcW w:type="dxa" w:w="2880"/>
            <w:shd w:val="clear" w:fill="E8F0FE"/>
          </w:tcPr>
          <w:p>
            <w:r/>
            <w:r>
              <w:rPr>
                <w:rFonts w:ascii="Arial" w:hAnsi="Arial"/>
                <w:b/>
                <w:color w:val="161B26"/>
                <w:sz w:val="18"/>
              </w:rPr>
              <w:t>People T5</w:t>
            </w:r>
          </w:p>
        </w:tc>
        <w:tc>
          <w:tcPr>
            <w:tcW w:type="dxa" w:w="2880"/>
          </w:tcPr>
          <w:p>
            <w:r/>
            <w:r>
              <w:rPr>
                <w:rFonts w:ascii="Arial" w:hAnsi="Arial"/>
                <w:b w:val="0"/>
                <w:color w:val="5B6372"/>
                <w:sz w:val="18"/>
              </w:rPr>
              <w:t>Align stakeholder expectations</w:t>
            </w:r>
          </w:p>
        </w:tc>
        <w:tc>
          <w:tcPr>
            <w:tcW w:type="dxa" w:w="2880"/>
          </w:tcPr>
          <w:p>
            <w:r/>
            <w:r>
              <w:rPr>
                <w:rFonts w:ascii="Arial" w:hAnsi="Arial"/>
                <w:b w:val="0"/>
                <w:color w:val="5B6372"/>
                <w:sz w:val="18"/>
              </w:rPr>
              <w:t>Categorize stakeholders; Identify stakeholder expectations; Facilitate discussions to align expectations; Organize and act on mentoring opportunities</w:t>
            </w:r>
          </w:p>
        </w:tc>
      </w:tr>
      <w:tr>
        <w:tc>
          <w:tcPr>
            <w:tcW w:type="dxa" w:w="2880"/>
            <w:shd w:val="clear" w:fill="E8F0FE"/>
          </w:tcPr>
          <w:p>
            <w:r/>
            <w:r>
              <w:rPr>
                <w:rFonts w:ascii="Arial" w:hAnsi="Arial"/>
                <w:b/>
                <w:color w:val="161B26"/>
                <w:sz w:val="18"/>
              </w:rPr>
              <w:t>People T6</w:t>
            </w:r>
          </w:p>
        </w:tc>
        <w:tc>
          <w:tcPr>
            <w:tcW w:type="dxa" w:w="2880"/>
          </w:tcPr>
          <w:p>
            <w:r/>
            <w:r>
              <w:rPr>
                <w:rFonts w:ascii="Arial" w:hAnsi="Arial"/>
                <w:b w:val="0"/>
                <w:color w:val="5B6372"/>
                <w:sz w:val="18"/>
              </w:rPr>
              <w:t>Manage stakeholder expectations</w:t>
            </w:r>
          </w:p>
        </w:tc>
        <w:tc>
          <w:tcPr>
            <w:tcW w:type="dxa" w:w="2880"/>
          </w:tcPr>
          <w:p>
            <w:r/>
            <w:r>
              <w:rPr>
                <w:rFonts w:ascii="Arial" w:hAnsi="Arial"/>
                <w:b w:val="0"/>
                <w:color w:val="5B6372"/>
                <w:sz w:val="18"/>
              </w:rPr>
              <w:t>Identify internal and external customer expectations; Align and maintain outcomes to internal and external customer expectations; Monitor internal and external customer satisfaction/expectations and respond as needed</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bl>
    <w:p>
      <w:pPr>
        <w:pStyle w:val="Heading2"/>
      </w:pPr>
      <w:r>
        <w:t>What This Topic Covers</w:t>
      </w:r>
    </w:p>
    <w:p>
      <w:pPr>
        <w:pStyle w:val="ListBullet"/>
      </w:pPr>
      <w:r>
        <w:rPr>
          <w:rFonts w:ascii="Arial" w:hAnsi="Arial"/>
          <w:sz w:val="22"/>
        </w:rPr>
        <w:t>Project integration and the charter</w:t>
      </w:r>
    </w:p>
    <w:p>
      <w:pPr>
        <w:pStyle w:val="ListBullet"/>
      </w:pPr>
      <w:r>
        <w:rPr>
          <w:rFonts w:ascii="Arial" w:hAnsi="Arial"/>
          <w:sz w:val="22"/>
        </w:rPr>
        <w:t>Business case, cost-benefit and benefits management</w:t>
      </w:r>
    </w:p>
    <w:p>
      <w:pPr>
        <w:pStyle w:val="ListBullet"/>
      </w:pPr>
      <w:r>
        <w:rPr>
          <w:rFonts w:ascii="Arial" w:hAnsi="Arial"/>
          <w:sz w:val="22"/>
        </w:rPr>
        <w:t>Identify, analyse and prioritise stakeholders</w:t>
      </w:r>
    </w:p>
    <w:p>
      <w:pPr>
        <w:pStyle w:val="ListBullet"/>
      </w:pPr>
      <w:r>
        <w:rPr>
          <w:rFonts w:ascii="Arial" w:hAnsi="Arial"/>
          <w:sz w:val="22"/>
        </w:rPr>
        <w:t>Align and manage stakeholder expectations</w:t>
      </w:r>
    </w:p>
    <w:p>
      <w:pPr>
        <w:pStyle w:val="ListBullet"/>
      </w:pPr>
      <w:r>
        <w:rPr>
          <w:rFonts w:ascii="Arial" w:hAnsi="Arial"/>
          <w:sz w:val="22"/>
        </w:rPr>
        <w:t>Form the team and build shared understanding</w:t>
      </w:r>
    </w:p>
    <w:p>
      <w:pPr>
        <w:pStyle w:val="ListBullet"/>
      </w:pPr>
      <w:r>
        <w:rPr>
          <w:rFonts w:ascii="Arial" w:hAnsi="Arial"/>
          <w:sz w:val="22"/>
        </w:rPr>
        <w:t>Determine the project approach</w:t>
      </w:r>
    </w:p>
    <w:p>
      <w:pPr>
        <w:pStyle w:val="Heading2"/>
      </w:pPr>
      <w:r>
        <w:t>The business case and why projects get funded</w:t>
      </w:r>
    </w:p>
    <w:p>
      <w:pPr>
        <w:spacing w:after="120"/>
      </w:pPr>
      <w:r>
        <w:rPr>
          <w:rFonts w:ascii="Arial" w:hAnsi="Arial"/>
          <w:b w:val="0"/>
          <w:color w:val="161B26"/>
          <w:sz w:val="22"/>
        </w:rPr>
        <w:t>Projects exist to deliver benefit. The business case is the documented economic feasibility study that justifies the investment: the problem or opportunity, the options considered, the recommended option, and the financial and non-financial returns. It is prepared before the charter and is the reference point you return to whenever someone proposes a change that erodes the value the project was funded to deliver.</w:t>
      </w:r>
    </w:p>
    <w:p>
      <w:pPr>
        <w:pStyle w:val="ListBullet"/>
      </w:pPr>
      <w:r>
        <w:rPr>
          <w:rFonts w:ascii="Arial" w:hAnsi="Arial"/>
          <w:sz w:val="22"/>
        </w:rPr>
        <w:t>Cost-benefit analysis compares the cost of the work to the benefit gained</w:t>
      </w:r>
    </w:p>
    <w:p>
      <w:pPr>
        <w:pStyle w:val="ListBullet"/>
      </w:pPr>
      <w:r>
        <w:rPr>
          <w:rFonts w:ascii="Arial" w:hAnsi="Arial"/>
          <w:sz w:val="22"/>
        </w:rPr>
        <w:t>Payback period — how long until the investment is recovered; shorter is better</w:t>
      </w:r>
    </w:p>
    <w:p>
      <w:pPr>
        <w:pStyle w:val="ListBullet"/>
      </w:pPr>
      <w:r>
        <w:rPr>
          <w:rFonts w:ascii="Arial" w:hAnsi="Arial"/>
          <w:sz w:val="22"/>
        </w:rPr>
        <w:t>Net present value (NPV) — future cash flows discounted to today; positive is good</w:t>
      </w:r>
    </w:p>
    <w:p>
      <w:pPr>
        <w:pStyle w:val="ListBullet"/>
      </w:pPr>
      <w:r>
        <w:rPr>
          <w:rFonts w:ascii="Arial" w:hAnsi="Arial"/>
          <w:sz w:val="22"/>
        </w:rPr>
        <w:t>Internal rate of return (IRR) and benefit-cost ratio (BCR) — higher is better</w:t>
      </w:r>
    </w:p>
    <w:p>
      <w:pPr>
        <w:pStyle w:val="ListBullet"/>
      </w:pPr>
      <w:r>
        <w:rPr>
          <w:rFonts w:ascii="Arial" w:hAnsi="Arial"/>
          <w:sz w:val="22"/>
        </w:rPr>
        <w:t>Opportunity cost — the value of the option you did NOT choose</w:t>
      </w:r>
    </w:p>
    <w:p>
      <w:pPr>
        <w:pStyle w:val="Heading2"/>
      </w:pPr>
      <w:r>
        <w:t>The project charter</w:t>
      </w:r>
    </w:p>
    <w:p>
      <w:pPr>
        <w:spacing w:after="120"/>
      </w:pPr>
      <w:r>
        <w:rPr>
          <w:rFonts w:ascii="Arial" w:hAnsi="Arial"/>
          <w:b w:val="0"/>
          <w:color w:val="161B26"/>
          <w:sz w:val="22"/>
        </w:rPr>
        <w:t>The charter authorises the project and, critically, authorises the project manager to apply organisational resources to it. It is issued by a sponsor external to the project with the authority to fund it. Without a charter you have no mandate. It stays deliberately high level — names, objectives, high-level requirements, summary milestones and budget, key risks, and the approval criteria.</w:t>
      </w:r>
    </w:p>
    <w:p>
      <w:pPr>
        <w:pStyle w:val="ListBullet"/>
      </w:pPr>
      <w:r>
        <w:rPr>
          <w:rFonts w:ascii="Arial" w:hAnsi="Arial"/>
          <w:sz w:val="22"/>
        </w:rPr>
        <w:t>Authorises the project's existence and the PM's authority</w:t>
      </w:r>
    </w:p>
    <w:p>
      <w:pPr>
        <w:pStyle w:val="ListBullet"/>
      </w:pPr>
      <w:r>
        <w:rPr>
          <w:rFonts w:ascii="Arial" w:hAnsi="Arial"/>
          <w:sz w:val="22"/>
        </w:rPr>
        <w:t>Signed by the sponsor, not written by the sponsor alone</w:t>
      </w:r>
    </w:p>
    <w:p>
      <w:pPr>
        <w:pStyle w:val="ListBullet"/>
      </w:pPr>
      <w:r>
        <w:rPr>
          <w:rFonts w:ascii="Arial" w:hAnsi="Arial"/>
          <w:sz w:val="22"/>
        </w:rPr>
        <w:t>Contains measurable objectives and success criteria</w:t>
      </w:r>
    </w:p>
    <w:p>
      <w:pPr>
        <w:pStyle w:val="ListBullet"/>
      </w:pPr>
      <w:r>
        <w:rPr>
          <w:rFonts w:ascii="Arial" w:hAnsi="Arial"/>
          <w:sz w:val="22"/>
        </w:rPr>
        <w:t>Records assumptions, constraints and high-level risk</w:t>
      </w:r>
    </w:p>
    <w:p>
      <w:pPr>
        <w:pStyle w:val="ListBullet"/>
      </w:pPr>
      <w:r>
        <w:rPr>
          <w:rFonts w:ascii="Arial" w:hAnsi="Arial"/>
          <w:sz w:val="22"/>
        </w:rPr>
        <w:t>Is not re-baselined — it is the founding document</w:t>
      </w:r>
    </w:p>
    <w:p>
      <w:pPr>
        <w:pStyle w:val="Heading2"/>
      </w:pPr>
      <w:r>
        <w:t>Identifying and analysing stakeholders</w:t>
      </w:r>
    </w:p>
    <w:p>
      <w:pPr>
        <w:spacing w:after="120"/>
      </w:pPr>
      <w:r>
        <w:rPr>
          <w:rFonts w:ascii="Arial" w:hAnsi="Arial"/>
          <w:b w:val="0"/>
          <w:color w:val="161B26"/>
          <w:sz w:val="22"/>
        </w:rPr>
        <w:t>A stakeholder is anyone who affects, is affected by, or believes they are affected by the project. That last clause matters: perceived impact generates real behaviour. Identification is continuous, not a one-off task at initiation. The stakeholder register records who they are, their interest, influence, expectations and your engagement strategy.</w:t>
      </w:r>
    </w:p>
    <w:p>
      <w:pPr>
        <w:pStyle w:val="ListBullet"/>
      </w:pPr>
      <w:r>
        <w:rPr>
          <w:rFonts w:ascii="Arial" w:hAnsi="Arial"/>
          <w:sz w:val="22"/>
        </w:rPr>
        <w:t>Power/interest grid — the most commonly examined classification</w:t>
      </w:r>
    </w:p>
    <w:p>
      <w:pPr>
        <w:pStyle w:val="ListBullet"/>
      </w:pPr>
      <w:r>
        <w:rPr>
          <w:rFonts w:ascii="Arial" w:hAnsi="Arial"/>
          <w:sz w:val="22"/>
        </w:rPr>
        <w:t>Salience model — power, legitimacy and urgency combined</w:t>
      </w:r>
    </w:p>
    <w:p>
      <w:pPr>
        <w:pStyle w:val="ListBullet"/>
      </w:pPr>
      <w:r>
        <w:rPr>
          <w:rFonts w:ascii="Arial" w:hAnsi="Arial"/>
          <w:sz w:val="22"/>
        </w:rPr>
        <w:t>Directions of influence — upward, downward, sideward, outward</w:t>
      </w:r>
    </w:p>
    <w:p>
      <w:pPr>
        <w:pStyle w:val="ListBullet"/>
      </w:pPr>
      <w:r>
        <w:rPr>
          <w:rFonts w:ascii="Arial" w:hAnsi="Arial"/>
          <w:sz w:val="22"/>
        </w:rPr>
        <w:t>Engagement levels — unaware, resistant, neutral, supportive, leading</w:t>
      </w:r>
    </w:p>
    <w:p>
      <w:pPr>
        <w:pStyle w:val="ListBullet"/>
      </w:pPr>
      <w:r>
        <w:rPr>
          <w:rFonts w:ascii="Arial" w:hAnsi="Arial"/>
          <w:sz w:val="22"/>
        </w:rPr>
        <w:t>The SEAM records Current (C) versus Desired (D) engagement per stakeholder</w:t>
      </w:r>
    </w:p>
    <w:p>
      <w:pPr>
        <w:pStyle w:val="Heading2"/>
      </w:pPr>
      <w:r>
        <w:t>Aligning and managing expectations</w:t>
      </w:r>
    </w:p>
    <w:p>
      <w:pPr>
        <w:spacing w:after="120"/>
      </w:pPr>
      <w:r>
        <w:rPr>
          <w:rFonts w:ascii="Arial" w:hAnsi="Arial"/>
          <w:b w:val="0"/>
          <w:color w:val="161B26"/>
          <w:sz w:val="22"/>
        </w:rPr>
        <w:t>The 2026 outline separates engaging stakeholders (People T4) from aligning their expectations (T5) and managing those expectations over time (T6). Alignment is the facilitation work of getting parties with different definitions of success to agree one definition. Management is the ongoing monitoring of satisfaction and responding when it drifts.</w:t>
      </w:r>
    </w:p>
    <w:p>
      <w:pPr>
        <w:pStyle w:val="ListBullet"/>
      </w:pPr>
      <w:r>
        <w:rPr>
          <w:rFonts w:ascii="Arial" w:hAnsi="Arial"/>
          <w:sz w:val="22"/>
        </w:rPr>
        <w:t>Identify expectations explicitly — unstated expectations become disputes</w:t>
      </w:r>
    </w:p>
    <w:p>
      <w:pPr>
        <w:pStyle w:val="ListBullet"/>
      </w:pPr>
      <w:r>
        <w:rPr>
          <w:rFonts w:ascii="Arial" w:hAnsi="Arial"/>
          <w:sz w:val="22"/>
        </w:rPr>
        <w:t>Facilitate discussion where expectations conflict; do not arbitrate silently</w:t>
      </w:r>
    </w:p>
    <w:p>
      <w:pPr>
        <w:pStyle w:val="ListBullet"/>
      </w:pPr>
      <w:r>
        <w:rPr>
          <w:rFonts w:ascii="Arial" w:hAnsi="Arial"/>
          <w:sz w:val="22"/>
        </w:rPr>
        <w:t>Monitor internal and external customer satisfaction continuously</w:t>
      </w:r>
    </w:p>
    <w:p>
      <w:pPr>
        <w:pStyle w:val="ListBullet"/>
      </w:pPr>
      <w:r>
        <w:rPr>
          <w:rFonts w:ascii="Arial" w:hAnsi="Arial"/>
          <w:sz w:val="22"/>
        </w:rPr>
        <w:t>Build trust deliberately; influence follows trust, not authority</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05</w:t>
            </w:r>
          </w:p>
        </w:tc>
        <w:tc>
          <w:tcPr>
            <w:tcW w:type="dxa" w:w="1234"/>
          </w:tcPr>
          <w:p>
            <w:r/>
            <w:r>
              <w:rPr>
                <w:rFonts w:ascii="Arial" w:hAnsi="Arial"/>
                <w:b w:val="0"/>
                <w:color w:val="5B6372"/>
                <w:sz w:val="18"/>
              </w:rPr>
              <w:t>Business Case and Cost-Benefit Analysis</w:t>
            </w:r>
          </w:p>
        </w:tc>
        <w:tc>
          <w:tcPr>
            <w:tcW w:type="dxa" w:w="1234"/>
          </w:tcPr>
          <w:p>
            <w:r/>
            <w:r>
              <w:rPr>
                <w:rFonts w:ascii="Arial" w:hAnsi="Arial"/>
                <w:b w:val="0"/>
                <w:color w:val="5B6372"/>
                <w:sz w:val="18"/>
              </w:rPr>
              <w:t>Process T3</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Business case, NPV/ROI/payback model</w:t>
            </w:r>
          </w:p>
        </w:tc>
      </w:tr>
      <w:tr>
        <w:tc>
          <w:tcPr>
            <w:tcW w:type="dxa" w:w="1234"/>
            <w:shd w:val="clear" w:fill="E8F0FE"/>
          </w:tcPr>
          <w:p>
            <w:r/>
            <w:r>
              <w:rPr>
                <w:rFonts w:ascii="Arial" w:hAnsi="Arial"/>
                <w:b/>
                <w:color w:val="161B26"/>
                <w:sz w:val="18"/>
              </w:rPr>
              <w:t>06</w:t>
            </w:r>
          </w:p>
        </w:tc>
        <w:tc>
          <w:tcPr>
            <w:tcW w:type="dxa" w:w="1234"/>
          </w:tcPr>
          <w:p>
            <w:r/>
            <w:r>
              <w:rPr>
                <w:rFonts w:ascii="Arial" w:hAnsi="Arial"/>
                <w:b w:val="0"/>
                <w:color w:val="5B6372"/>
                <w:sz w:val="18"/>
              </w:rPr>
              <w:t>Project Charter</w:t>
            </w:r>
          </w:p>
        </w:tc>
        <w:tc>
          <w:tcPr>
            <w:tcW w:type="dxa" w:w="1234"/>
          </w:tcPr>
          <w:p>
            <w:r/>
            <w:r>
              <w:rPr>
                <w:rFonts w:ascii="Arial" w:hAnsi="Arial"/>
                <w:b w:val="0"/>
                <w:color w:val="5B6372"/>
                <w:sz w:val="18"/>
              </w:rPr>
              <w:t>Process T1</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Approved project charter</w:t>
            </w:r>
          </w:p>
        </w:tc>
      </w:tr>
      <w:tr>
        <w:tc>
          <w:tcPr>
            <w:tcW w:type="dxa" w:w="1234"/>
            <w:shd w:val="clear" w:fill="E8F0FE"/>
          </w:tcPr>
          <w:p>
            <w:r/>
            <w:r>
              <w:rPr>
                <w:rFonts w:ascii="Arial" w:hAnsi="Arial"/>
                <w:b/>
                <w:color w:val="161B26"/>
                <w:sz w:val="18"/>
              </w:rPr>
              <w:t>07</w:t>
            </w:r>
          </w:p>
        </w:tc>
        <w:tc>
          <w:tcPr>
            <w:tcW w:type="dxa" w:w="1234"/>
          </w:tcPr>
          <w:p>
            <w:r/>
            <w:r>
              <w:rPr>
                <w:rFonts w:ascii="Arial" w:hAnsi="Arial"/>
                <w:b w:val="0"/>
                <w:color w:val="5B6372"/>
                <w:sz w:val="18"/>
              </w:rPr>
              <w:t>Stakeholder Register, Power/Interest Grid and Salience Model</w:t>
            </w:r>
          </w:p>
        </w:tc>
        <w:tc>
          <w:tcPr>
            <w:tcW w:type="dxa" w:w="1234"/>
          </w:tcPr>
          <w:p>
            <w:r/>
            <w:r>
              <w:rPr>
                <w:rFonts w:ascii="Arial" w:hAnsi="Arial"/>
                <w:b w:val="0"/>
                <w:color w:val="5B6372"/>
                <w:sz w:val="18"/>
              </w:rPr>
              <w:t>People T4, T5</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Stakeholder register, Power/interest grid, Salience classification</w:t>
            </w:r>
          </w:p>
        </w:tc>
      </w:tr>
      <w:tr>
        <w:tc>
          <w:tcPr>
            <w:tcW w:type="dxa" w:w="1234"/>
            <w:shd w:val="clear" w:fill="E8F0FE"/>
          </w:tcPr>
          <w:p>
            <w:r/>
            <w:r>
              <w:rPr>
                <w:rFonts w:ascii="Arial" w:hAnsi="Arial"/>
                <w:b/>
                <w:color w:val="161B26"/>
                <w:sz w:val="18"/>
              </w:rPr>
              <w:t>08</w:t>
            </w:r>
          </w:p>
        </w:tc>
        <w:tc>
          <w:tcPr>
            <w:tcW w:type="dxa" w:w="1234"/>
          </w:tcPr>
          <w:p>
            <w:r/>
            <w:r>
              <w:rPr>
                <w:rFonts w:ascii="Arial" w:hAnsi="Arial"/>
                <w:b w:val="0"/>
                <w:color w:val="5B6372"/>
                <w:sz w:val="18"/>
              </w:rPr>
              <w:t>Team Charter, Ground Rules and Shared Vision</w:t>
            </w:r>
          </w:p>
        </w:tc>
        <w:tc>
          <w:tcPr>
            <w:tcW w:type="dxa" w:w="1234"/>
          </w:tcPr>
          <w:p>
            <w:r/>
            <w:r>
              <w:rPr>
                <w:rFonts w:ascii="Arial" w:hAnsi="Arial"/>
                <w:b w:val="0"/>
                <w:color w:val="5B6372"/>
                <w:sz w:val="18"/>
              </w:rPr>
              <w:t>People T1, T2</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15 min</w:t>
            </w:r>
          </w:p>
        </w:tc>
        <w:tc>
          <w:tcPr>
            <w:tcW w:type="dxa" w:w="1234"/>
          </w:tcPr>
          <w:p>
            <w:r/>
            <w:r>
              <w:rPr>
                <w:rFonts w:ascii="Arial" w:hAnsi="Arial"/>
                <w:b w:val="0"/>
                <w:color w:val="5B6372"/>
                <w:sz w:val="18"/>
              </w:rPr>
              <w:t>Team charter, Ground rules, Vision statement</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What does the project charter authorise that no other document does?</w:t>
      </w:r>
    </w:p>
    <w:p>
      <w:pPr>
        <w:pStyle w:val="ListNumber"/>
      </w:pPr>
      <w:r>
        <w:rPr>
          <w:rFonts w:ascii="Arial" w:hAnsi="Arial"/>
          <w:sz w:val="22"/>
        </w:rPr>
        <w:t>A project has an initial investment of $200,000 and returns $60,000 per year. Calculate the payback period and state one limitation of using it alone.</w:t>
      </w:r>
    </w:p>
    <w:p>
      <w:pPr>
        <w:pStyle w:val="ListNumber"/>
      </w:pPr>
      <w:r>
        <w:rPr>
          <w:rFonts w:ascii="Arial" w:hAnsi="Arial"/>
          <w:sz w:val="22"/>
        </w:rPr>
        <w:t>Compare the power/interest grid with the salience model. When would you prefer each?</w:t>
      </w:r>
    </w:p>
    <w:p>
      <w:pPr>
        <w:pStyle w:val="ListNumber"/>
      </w:pPr>
      <w:r>
        <w:rPr>
          <w:rFonts w:ascii="Arial" w:hAnsi="Arial"/>
          <w:sz w:val="22"/>
        </w:rPr>
        <w:t>A stakeholder is currently resistant but needs to be supportive. How would you record and act on that in a SEAM?</w:t>
      </w:r>
    </w:p>
    <w:p>
      <w:pPr>
        <w:pStyle w:val="ListNumber"/>
      </w:pPr>
      <w:r>
        <w:rPr>
          <w:rFonts w:ascii="Arial" w:hAnsi="Arial"/>
          <w:sz w:val="22"/>
        </w:rPr>
        <w:t>Explain the difference between engaging stakeholders and aligning their expectations, per ECO People T4 and T5.</w:t>
      </w:r>
    </w:p>
    <w:p>
      <w:pPr>
        <w:pStyle w:val="ListNumber"/>
      </w:pPr>
      <w:r>
        <w:rPr>
          <w:rFonts w:ascii="Arial" w:hAnsi="Arial"/>
          <w:sz w:val="22"/>
        </w:rPr>
        <w:t>Why is 'anyone who believes they are affected' included in the definition of a stakeholder?</w:t>
      </w:r>
    </w:p>
    <w:p>
      <w:r>
        <w:br w:type="page"/>
      </w:r>
    </w:p>
    <w:p>
      <w:pPr>
        <w:pStyle w:val="Heading1"/>
      </w:pPr>
      <w:r>
        <w:t>Topic 3. Plan the Project</w:t>
      </w:r>
    </w:p>
    <w:p>
      <w:pPr>
        <w:spacing w:after="120"/>
      </w:pPr>
      <w:r>
        <w:rPr>
          <w:rFonts w:ascii="Arial" w:hAnsi="Arial"/>
          <w:b w:val="0"/>
          <w:color w:val="161B26"/>
          <w:sz w:val="22"/>
        </w:rPr>
        <w:t>Building the integrated plan — scope, schedule, cost, quality, resources, communications, risk and procurement.</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r>
        <w:tc>
          <w:tcPr>
            <w:tcW w:type="dxa" w:w="2880"/>
            <w:shd w:val="clear" w:fill="E8F0FE"/>
          </w:tcPr>
          <w:p>
            <w:r/>
            <w:r>
              <w:rPr>
                <w:rFonts w:ascii="Arial" w:hAnsi="Arial"/>
                <w:b/>
                <w:color w:val="161B26"/>
                <w:sz w:val="18"/>
              </w:rPr>
              <w:t>Process T2</w:t>
            </w:r>
          </w:p>
        </w:tc>
        <w:tc>
          <w:tcPr>
            <w:tcW w:type="dxa" w:w="2880"/>
          </w:tcPr>
          <w:p>
            <w:r/>
            <w:r>
              <w:rPr>
                <w:rFonts w:ascii="Arial" w:hAnsi="Arial"/>
                <w:b w:val="0"/>
                <w:color w:val="5B6372"/>
                <w:sz w:val="18"/>
              </w:rPr>
              <w:t>Develop and manage project scope</w:t>
            </w:r>
          </w:p>
        </w:tc>
        <w:tc>
          <w:tcPr>
            <w:tcW w:type="dxa" w:w="2880"/>
          </w:tcPr>
          <w:p>
            <w:r/>
            <w:r>
              <w:rPr>
                <w:rFonts w:ascii="Arial" w:hAnsi="Arial"/>
                <w:b w:val="0"/>
                <w:color w:val="5B6372"/>
                <w:sz w:val="18"/>
              </w:rPr>
              <w:t>Define scope; Obtain stakeholder agreement on project scope; Break down scope</w:t>
            </w:r>
          </w:p>
        </w:tc>
      </w:tr>
      <w:tr>
        <w:tc>
          <w:tcPr>
            <w:tcW w:type="dxa" w:w="2880"/>
            <w:shd w:val="clear" w:fill="E8F0FE"/>
          </w:tcPr>
          <w:p>
            <w:r/>
            <w:r>
              <w:rPr>
                <w:rFonts w:ascii="Arial" w:hAnsi="Arial"/>
                <w:b/>
                <w:color w:val="161B26"/>
                <w:sz w:val="18"/>
              </w:rPr>
              <w:t>Process T4</w:t>
            </w:r>
          </w:p>
        </w:tc>
        <w:tc>
          <w:tcPr>
            <w:tcW w:type="dxa" w:w="2880"/>
          </w:tcPr>
          <w:p>
            <w:r/>
            <w:r>
              <w:rPr>
                <w:rFonts w:ascii="Arial" w:hAnsi="Arial"/>
                <w:b w:val="0"/>
                <w:color w:val="5B6372"/>
                <w:sz w:val="18"/>
              </w:rPr>
              <w:t>Plan and manage resources</w:t>
            </w:r>
          </w:p>
        </w:tc>
        <w:tc>
          <w:tcPr>
            <w:tcW w:type="dxa" w:w="2880"/>
          </w:tcPr>
          <w:p>
            <w:r/>
            <w:r>
              <w:rPr>
                <w:rFonts w:ascii="Arial" w:hAnsi="Arial"/>
                <w:b w:val="0"/>
                <w:color w:val="5B6372"/>
                <w:sz w:val="18"/>
              </w:rPr>
              <w:t>Define and plan resources based on requirements; Manage and optimize resource needs and availability</w:t>
            </w:r>
          </w:p>
        </w:tc>
      </w:tr>
      <w:tr>
        <w:tc>
          <w:tcPr>
            <w:tcW w:type="dxa" w:w="2880"/>
            <w:shd w:val="clear" w:fill="E8F0FE"/>
          </w:tcPr>
          <w:p>
            <w:r/>
            <w:r>
              <w:rPr>
                <w:rFonts w:ascii="Arial" w:hAnsi="Arial"/>
                <w:b/>
                <w:color w:val="161B26"/>
                <w:sz w:val="18"/>
              </w:rPr>
              <w:t>Process T5</w:t>
            </w:r>
          </w:p>
        </w:tc>
        <w:tc>
          <w:tcPr>
            <w:tcW w:type="dxa" w:w="2880"/>
          </w:tcPr>
          <w:p>
            <w:r/>
            <w:r>
              <w:rPr>
                <w:rFonts w:ascii="Arial" w:hAnsi="Arial"/>
                <w:b w:val="0"/>
                <w:color w:val="5B6372"/>
                <w:sz w:val="18"/>
              </w:rPr>
              <w:t>Plan and manage procurement</w:t>
            </w:r>
          </w:p>
        </w:tc>
        <w:tc>
          <w:tcPr>
            <w:tcW w:type="dxa" w:w="2880"/>
          </w:tcPr>
          <w:p>
            <w:r/>
            <w:r>
              <w:rPr>
                <w:rFonts w:ascii="Arial" w:hAnsi="Arial"/>
                <w:b w:val="0"/>
                <w:color w:val="5B6372"/>
                <w:sz w:val="18"/>
              </w:rPr>
              <w:t>Plan procurement; Execute a procurement management plan; Select preferred contract types; Evaluate vendor performance; Verify objectives of the procurement agreement are met; Participate in agreement negotiations; Determine a negotiation strategy; Manage suppliers and contracts; Plan and manage the procurement strategy; Develop a delivery solution</w:t>
            </w:r>
          </w:p>
        </w:tc>
      </w:tr>
      <w:tr>
        <w:tc>
          <w:tcPr>
            <w:tcW w:type="dxa" w:w="2880"/>
            <w:shd w:val="clear" w:fill="E8F0FE"/>
          </w:tcPr>
          <w:p>
            <w:r/>
            <w:r>
              <w:rPr>
                <w:rFonts w:ascii="Arial" w:hAnsi="Arial"/>
                <w:b/>
                <w:color w:val="161B26"/>
                <w:sz w:val="18"/>
              </w:rPr>
              <w:t>Process T6</w:t>
            </w:r>
          </w:p>
        </w:tc>
        <w:tc>
          <w:tcPr>
            <w:tcW w:type="dxa" w:w="2880"/>
          </w:tcPr>
          <w:p>
            <w:r/>
            <w:r>
              <w:rPr>
                <w:rFonts w:ascii="Arial" w:hAnsi="Arial"/>
                <w:b w:val="0"/>
                <w:color w:val="5B6372"/>
                <w:sz w:val="18"/>
              </w:rPr>
              <w:t>Plan and manage finance</w:t>
            </w:r>
          </w:p>
        </w:tc>
        <w:tc>
          <w:tcPr>
            <w:tcW w:type="dxa" w:w="2880"/>
          </w:tcPr>
          <w:p>
            <w:r/>
            <w:r>
              <w:rPr>
                <w:rFonts w:ascii="Arial" w:hAnsi="Arial"/>
                <w:b w:val="0"/>
                <w:color w:val="5B6372"/>
                <w:sz w:val="18"/>
              </w:rPr>
              <w:t>Analyze project financial needs; Quantify risk and contingency financial allocations; Plan spend tracking throughout the project life cycle; Plan financial reporting; Anticipate future finance challenges; Monitor financial variations and work with the governance process; Manage financial reserves</w:t>
            </w:r>
          </w:p>
        </w:tc>
      </w:tr>
      <w:tr>
        <w:tc>
          <w:tcPr>
            <w:tcW w:type="dxa" w:w="2880"/>
            <w:shd w:val="clear" w:fill="E8F0FE"/>
          </w:tcPr>
          <w:p>
            <w:r/>
            <w:r>
              <w:rPr>
                <w:rFonts w:ascii="Arial" w:hAnsi="Arial"/>
                <w:b/>
                <w:color w:val="161B26"/>
                <w:sz w:val="18"/>
              </w:rPr>
              <w:t>Process T7</w:t>
            </w:r>
          </w:p>
        </w:tc>
        <w:tc>
          <w:tcPr>
            <w:tcW w:type="dxa" w:w="2880"/>
          </w:tcPr>
          <w:p>
            <w:r/>
            <w:r>
              <w:rPr>
                <w:rFonts w:ascii="Arial" w:hAnsi="Arial"/>
                <w:b w:val="0"/>
                <w:color w:val="5B6372"/>
                <w:sz w:val="18"/>
              </w:rPr>
              <w:t>Plan and optimize quality of products/deliverables</w:t>
            </w:r>
          </w:p>
        </w:tc>
        <w:tc>
          <w:tcPr>
            <w:tcW w:type="dxa" w:w="2880"/>
          </w:tcPr>
          <w:p>
            <w:r/>
            <w:r>
              <w:rPr>
                <w:rFonts w:ascii="Arial" w:hAnsi="Arial"/>
                <w:b w:val="0"/>
                <w:color w:val="5B6372"/>
                <w:sz w:val="18"/>
              </w:rPr>
              <w:t>Gather quality requirements for project deliverables; Plan quality processes and tools; Execute a quality management plan; Help ensure regulatory compliance; Manage cost of quality (CoQ) and sustainability; Conduct ongoing quality reviews; Implement continuous improvement</w:t>
            </w:r>
          </w:p>
        </w:tc>
      </w:tr>
      <w:tr>
        <w:tc>
          <w:tcPr>
            <w:tcW w:type="dxa" w:w="2880"/>
            <w:shd w:val="clear" w:fill="E8F0FE"/>
          </w:tcPr>
          <w:p>
            <w:r/>
            <w:r>
              <w:rPr>
                <w:rFonts w:ascii="Arial" w:hAnsi="Arial"/>
                <w:b/>
                <w:color w:val="161B26"/>
                <w:sz w:val="18"/>
              </w:rPr>
              <w:t>Process T8</w:t>
            </w:r>
          </w:p>
        </w:tc>
        <w:tc>
          <w:tcPr>
            <w:tcW w:type="dxa" w:w="2880"/>
          </w:tcPr>
          <w:p>
            <w:r/>
            <w:r>
              <w:rPr>
                <w:rFonts w:ascii="Arial" w:hAnsi="Arial"/>
                <w:b w:val="0"/>
                <w:color w:val="5B6372"/>
                <w:sz w:val="18"/>
              </w:rPr>
              <w:t>Plan and manage schedule</w:t>
            </w:r>
          </w:p>
        </w:tc>
        <w:tc>
          <w:tcPr>
            <w:tcW w:type="dxa" w:w="2880"/>
          </w:tcPr>
          <w:p>
            <w:r/>
            <w:r>
              <w:rPr>
                <w:rFonts w:ascii="Arial" w:hAnsi="Arial"/>
                <w:b w:val="0"/>
                <w:color w:val="5B6372"/>
                <w:sz w:val="18"/>
              </w:rPr>
              <w:t>Prepare a schedule based on the selected development approach; Coordinate with other projects and operations; Estimate project tasks (milestones, dependencies, story points); Utilize benchmarks and historical data; Create a project schedule; Baseline a project schedule; Execute a schedule management plan; Analyze schedule variation</w:t>
            </w:r>
          </w:p>
        </w:tc>
      </w:tr>
      <w:tr>
        <w:tc>
          <w:tcPr>
            <w:tcW w:type="dxa" w:w="2880"/>
            <w:shd w:val="clear" w:fill="E8F0FE"/>
          </w:tcPr>
          <w:p>
            <w:r/>
            <w:r>
              <w:rPr>
                <w:rFonts w:ascii="Arial" w:hAnsi="Arial"/>
                <w:b/>
                <w:color w:val="161B26"/>
                <w:sz w:val="18"/>
              </w:rPr>
              <w:t>Business Environment T5</w:t>
            </w:r>
          </w:p>
        </w:tc>
        <w:tc>
          <w:tcPr>
            <w:tcW w:type="dxa" w:w="2880"/>
          </w:tcPr>
          <w:p>
            <w:r/>
            <w:r>
              <w:rPr>
                <w:rFonts w:ascii="Arial" w:hAnsi="Arial"/>
                <w:b w:val="0"/>
                <w:color w:val="5B6372"/>
                <w:sz w:val="18"/>
              </w:rPr>
              <w:t>Plan and manage risk</w:t>
            </w:r>
          </w:p>
        </w:tc>
        <w:tc>
          <w:tcPr>
            <w:tcW w:type="dxa" w:w="2880"/>
          </w:tcPr>
          <w:p>
            <w:r/>
            <w:r>
              <w:rPr>
                <w:rFonts w:ascii="Arial" w:hAnsi="Arial"/>
                <w:b w:val="0"/>
                <w:color w:val="5B6372"/>
                <w:sz w:val="18"/>
              </w:rPr>
              <w:t>Identify risks; Analyze risks; Monitor and control risks; Develop a risk management plan; Maintain a risk register (e.g., poor IT security); Execute a risk management plan (risk response for security and sustainability risks); Communicate the status of a risk impact on the project</w:t>
            </w:r>
          </w:p>
        </w:tc>
      </w:tr>
      <w:tr>
        <w:tc>
          <w:tcPr>
            <w:tcW w:type="dxa" w:w="2880"/>
            <w:shd w:val="clear" w:fill="E8F0FE"/>
          </w:tcPr>
          <w:p>
            <w:r/>
            <w:r>
              <w:rPr>
                <w:rFonts w:ascii="Arial" w:hAnsi="Arial"/>
                <w:b/>
                <w:color w:val="161B26"/>
                <w:sz w:val="18"/>
              </w:rPr>
              <w:t>People T8</w:t>
            </w:r>
          </w:p>
        </w:tc>
        <w:tc>
          <w:tcPr>
            <w:tcW w:type="dxa" w:w="2880"/>
          </w:tcPr>
          <w:p>
            <w:r/>
            <w:r>
              <w:rPr>
                <w:rFonts w:ascii="Arial" w:hAnsi="Arial"/>
                <w:b w:val="0"/>
                <w:color w:val="5B6372"/>
                <w:sz w:val="18"/>
              </w:rPr>
              <w:t>Plan and manage communication</w:t>
            </w:r>
          </w:p>
        </w:tc>
        <w:tc>
          <w:tcPr>
            <w:tcW w:type="dxa" w:w="2880"/>
          </w:tcPr>
          <w:p>
            <w:r/>
            <w:r>
              <w:rPr>
                <w:rFonts w:ascii="Arial" w:hAnsi="Arial"/>
                <w:b w:val="0"/>
                <w:color w:val="5B6372"/>
                <w:sz w:val="18"/>
              </w:rPr>
              <w:t>Define a communication strategy; Promote transparency and collaboration; Establish a feedback loop; Understand reporting requirements; Create reports aligned with sponsors and stakeholder expectations; Support reporting and governance processes</w:t>
            </w:r>
          </w:p>
        </w:tc>
      </w:tr>
    </w:tbl>
    <w:p>
      <w:pPr>
        <w:pStyle w:val="Heading2"/>
      </w:pPr>
      <w:r>
        <w:t>What This Topic Covers</w:t>
      </w:r>
    </w:p>
    <w:p>
      <w:pPr>
        <w:pStyle w:val="ListBullet"/>
      </w:pPr>
      <w:r>
        <w:rPr>
          <w:rFonts w:ascii="Arial" w:hAnsi="Arial"/>
          <w:sz w:val="22"/>
        </w:rPr>
        <w:t>The integrated project management plan</w:t>
      </w:r>
    </w:p>
    <w:p>
      <w:pPr>
        <w:pStyle w:val="ListBullet"/>
      </w:pPr>
      <w:r>
        <w:rPr>
          <w:rFonts w:ascii="Arial" w:hAnsi="Arial"/>
          <w:sz w:val="22"/>
        </w:rPr>
        <w:t>Scope: requirements, WBS and baselines</w:t>
      </w:r>
    </w:p>
    <w:p>
      <w:pPr>
        <w:pStyle w:val="ListBullet"/>
      </w:pPr>
      <w:r>
        <w:rPr>
          <w:rFonts w:ascii="Arial" w:hAnsi="Arial"/>
          <w:sz w:val="22"/>
        </w:rPr>
        <w:t>Schedule: activities, dependencies, critical path</w:t>
      </w:r>
    </w:p>
    <w:p>
      <w:pPr>
        <w:pStyle w:val="ListBullet"/>
      </w:pPr>
      <w:r>
        <w:rPr>
          <w:rFonts w:ascii="Arial" w:hAnsi="Arial"/>
          <w:sz w:val="22"/>
        </w:rPr>
        <w:t>Cost: estimating, budget and reserves</w:t>
      </w:r>
    </w:p>
    <w:p>
      <w:pPr>
        <w:pStyle w:val="ListBullet"/>
      </w:pPr>
      <w:r>
        <w:rPr>
          <w:rFonts w:ascii="Arial" w:hAnsi="Arial"/>
          <w:sz w:val="22"/>
        </w:rPr>
        <w:t>Quality: planning and problem-solving tools</w:t>
      </w:r>
    </w:p>
    <w:p>
      <w:pPr>
        <w:pStyle w:val="ListBullet"/>
      </w:pPr>
      <w:r>
        <w:rPr>
          <w:rFonts w:ascii="Arial" w:hAnsi="Arial"/>
          <w:sz w:val="22"/>
        </w:rPr>
        <w:t>Resources, communications and procurement</w:t>
      </w:r>
    </w:p>
    <w:p>
      <w:pPr>
        <w:pStyle w:val="ListBullet"/>
      </w:pPr>
      <w:r>
        <w:rPr>
          <w:rFonts w:ascii="Arial" w:hAnsi="Arial"/>
          <w:sz w:val="22"/>
        </w:rPr>
        <w:t>Risk: identification, analysis and response</w:t>
      </w:r>
    </w:p>
    <w:p>
      <w:pPr>
        <w:pStyle w:val="Heading2"/>
      </w:pPr>
      <w:r>
        <w:t>The integrated project management plan</w:t>
      </w:r>
    </w:p>
    <w:p>
      <w:pPr>
        <w:spacing w:after="120"/>
      </w:pPr>
      <w:r>
        <w:rPr>
          <w:rFonts w:ascii="Arial" w:hAnsi="Arial"/>
          <w:b w:val="0"/>
          <w:color w:val="161B26"/>
          <w:sz w:val="22"/>
        </w:rPr>
        <w:t>The project management plan is not one document but the integration of all subsidiary plans — scope, schedule, cost, quality, resource, communications, risk, procurement and stakeholder engagement — plus the three baselines (scope, schedule, cost). Integration is the point: the plans must be internally consistent, and a change to one usually forces a change to others.</w:t>
      </w:r>
    </w:p>
    <w:p>
      <w:pPr>
        <w:pStyle w:val="ListBullet"/>
      </w:pPr>
      <w:r>
        <w:rPr>
          <w:rFonts w:ascii="Arial" w:hAnsi="Arial"/>
          <w:sz w:val="22"/>
        </w:rPr>
        <w:t>Subsidiary management plans define HOW each knowledge area will be run</w:t>
      </w:r>
    </w:p>
    <w:p>
      <w:pPr>
        <w:pStyle w:val="ListBullet"/>
      </w:pPr>
      <w:r>
        <w:rPr>
          <w:rFonts w:ascii="Arial" w:hAnsi="Arial"/>
          <w:sz w:val="22"/>
        </w:rPr>
        <w:t>Baselines are the approved versions against which performance is measured</w:t>
      </w:r>
    </w:p>
    <w:p>
      <w:pPr>
        <w:pStyle w:val="ListBullet"/>
      </w:pPr>
      <w:r>
        <w:rPr>
          <w:rFonts w:ascii="Arial" w:hAnsi="Arial"/>
          <w:sz w:val="22"/>
        </w:rPr>
        <w:t>Changes to a baseline require an approved change request — always</w:t>
      </w:r>
    </w:p>
    <w:p>
      <w:pPr>
        <w:pStyle w:val="ListBullet"/>
      </w:pPr>
      <w:r>
        <w:rPr>
          <w:rFonts w:ascii="Arial" w:hAnsi="Arial"/>
          <w:sz w:val="22"/>
        </w:rPr>
        <w:t>Rolling wave planning elaborates near-term work in detail, later work coarsely</w:t>
      </w:r>
    </w:p>
    <w:p>
      <w:pPr>
        <w:pStyle w:val="Heading2"/>
      </w:pPr>
      <w:r>
        <w:t>Scope: from requirements to work packages</w:t>
      </w:r>
    </w:p>
    <w:p>
      <w:pPr>
        <w:spacing w:after="120"/>
      </w:pPr>
      <w:r>
        <w:rPr>
          <w:rFonts w:ascii="Arial" w:hAnsi="Arial"/>
          <w:b w:val="0"/>
          <w:color w:val="161B26"/>
          <w:sz w:val="22"/>
        </w:rPr>
        <w:t>Scope work moves from elicitation (what do stakeholders need?) through definition (what will we deliver?) to decomposition (what work produces it?). The Requirements Traceability Matrix links each requirement forward to the deliverable, test and acceptance that satisfies it. The WBS decomposes the deliverables — not the activities — down to work packages, and obeys the 100% rule: the WBS contains all the work and only the work.</w:t>
      </w:r>
    </w:p>
    <w:p>
      <w:pPr>
        <w:pStyle w:val="ListBullet"/>
      </w:pPr>
      <w:r>
        <w:rPr>
          <w:rFonts w:ascii="Arial" w:hAnsi="Arial"/>
          <w:sz w:val="22"/>
        </w:rPr>
        <w:t>Scope creep — uncontrolled additions without change control</w:t>
      </w:r>
    </w:p>
    <w:p>
      <w:pPr>
        <w:pStyle w:val="ListBullet"/>
      </w:pPr>
      <w:r>
        <w:rPr>
          <w:rFonts w:ascii="Arial" w:hAnsi="Arial"/>
          <w:sz w:val="22"/>
        </w:rPr>
        <w:t>Gold plating — the team adding unrequested extras; never acceptable</w:t>
      </w:r>
    </w:p>
    <w:p>
      <w:pPr>
        <w:pStyle w:val="ListBullet"/>
      </w:pPr>
      <w:r>
        <w:rPr>
          <w:rFonts w:ascii="Arial" w:hAnsi="Arial"/>
          <w:sz w:val="22"/>
        </w:rPr>
        <w:t>The WBS decomposes DELIVERABLES; the activity list decomposes the work</w:t>
      </w:r>
    </w:p>
    <w:p>
      <w:pPr>
        <w:pStyle w:val="ListBullet"/>
      </w:pPr>
      <w:r>
        <w:rPr>
          <w:rFonts w:ascii="Arial" w:hAnsi="Arial"/>
          <w:sz w:val="22"/>
        </w:rPr>
        <w:t>The WBS dictionary carries the detail for each work package</w:t>
      </w:r>
    </w:p>
    <w:p>
      <w:pPr>
        <w:pStyle w:val="ListBullet"/>
      </w:pPr>
      <w:r>
        <w:rPr>
          <w:rFonts w:ascii="Arial" w:hAnsi="Arial"/>
          <w:sz w:val="22"/>
        </w:rPr>
        <w:t>Scope baseline = scope statement + WBS + WBS dictionary</w:t>
      </w:r>
    </w:p>
    <w:p>
      <w:pPr>
        <w:pStyle w:val="Heading2"/>
      </w:pPr>
      <w:r>
        <w:t>Schedule: dependencies, estimating and the critical path</w:t>
      </w:r>
    </w:p>
    <w:p>
      <w:pPr>
        <w:spacing w:after="120"/>
      </w:pPr>
      <w:r>
        <w:rPr>
          <w:rFonts w:ascii="Arial" w:hAnsi="Arial"/>
          <w:b w:val="0"/>
          <w:color w:val="161B26"/>
          <w:sz w:val="22"/>
        </w:rPr>
        <w:t>Activities are sequenced by dependency type (mandatory, discretionary, external, internal) and relationship (finish-to-start being the most common). Durations are estimated by analogous, parametric, three-point or bottom-up methods. The critical path is the longest path through the network and therefore the shortest possible duration; activities on it have zero float. Compressing it means crashing (adding cost) or fast tracking (adding risk).</w:t>
      </w:r>
    </w:p>
    <w:p>
      <w:pPr>
        <w:pStyle w:val="ListBullet"/>
      </w:pPr>
      <w:r>
        <w:rPr>
          <w:rFonts w:ascii="Arial" w:hAnsi="Arial"/>
          <w:sz w:val="22"/>
        </w:rPr>
        <w:t>Three-point (PERT): (O + 4M + P) / 6, with σ = (P − O) / 6</w:t>
      </w:r>
    </w:p>
    <w:p>
      <w:pPr>
        <w:pStyle w:val="ListBullet"/>
      </w:pPr>
      <w:r>
        <w:rPr>
          <w:rFonts w:ascii="Arial" w:hAnsi="Arial"/>
          <w:sz w:val="22"/>
        </w:rPr>
        <w:t>Total float — delay available before the project end date slips</w:t>
      </w:r>
    </w:p>
    <w:p>
      <w:pPr>
        <w:pStyle w:val="ListBullet"/>
      </w:pPr>
      <w:r>
        <w:rPr>
          <w:rFonts w:ascii="Arial" w:hAnsi="Arial"/>
          <w:sz w:val="22"/>
        </w:rPr>
        <w:t>Free float — delay available before the NEXT activity is affected</w:t>
      </w:r>
    </w:p>
    <w:p>
      <w:pPr>
        <w:pStyle w:val="ListBullet"/>
      </w:pPr>
      <w:r>
        <w:rPr>
          <w:rFonts w:ascii="Arial" w:hAnsi="Arial"/>
          <w:sz w:val="22"/>
        </w:rPr>
        <w:t>Critical path activities have zero total float by definition</w:t>
      </w:r>
    </w:p>
    <w:p>
      <w:pPr>
        <w:pStyle w:val="ListBullet"/>
      </w:pPr>
      <w:r>
        <w:rPr>
          <w:rFonts w:ascii="Arial" w:hAnsi="Arial"/>
          <w:sz w:val="22"/>
        </w:rPr>
        <w:t>Crashing adds cost; fast tracking adds risk and potential rework</w:t>
      </w:r>
    </w:p>
    <w:p>
      <w:pPr>
        <w:pStyle w:val="Heading2"/>
      </w:pPr>
      <w:r>
        <w:t>Cost: estimating, budgeting and reserves</w:t>
      </w:r>
    </w:p>
    <w:p>
      <w:pPr>
        <w:spacing w:after="120"/>
      </w:pPr>
      <w:r>
        <w:rPr>
          <w:rFonts w:ascii="Arial" w:hAnsi="Arial"/>
          <w:b w:val="0"/>
          <w:color w:val="161B26"/>
          <w:sz w:val="22"/>
        </w:rPr>
        <w:t>Cost estimates roll up from work packages into the cost baseline, to which contingency reserve is added for identified risks. Management reserve sits above the cost baseline for unknown-unknowns and requires management approval to access. The distinction is examined frequently: contingency is inside the baseline and under your control, management reserve is outside it and is not.</w:t>
      </w:r>
    </w:p>
    <w:p>
      <w:pPr>
        <w:pStyle w:val="ListBullet"/>
      </w:pPr>
      <w:r>
        <w:rPr>
          <w:rFonts w:ascii="Arial" w:hAnsi="Arial"/>
          <w:sz w:val="22"/>
        </w:rPr>
        <w:t>Cost baseline = work package estimates + contingency reserve</w:t>
      </w:r>
    </w:p>
    <w:p>
      <w:pPr>
        <w:pStyle w:val="ListBullet"/>
      </w:pPr>
      <w:r>
        <w:rPr>
          <w:rFonts w:ascii="Arial" w:hAnsi="Arial"/>
          <w:sz w:val="22"/>
        </w:rPr>
        <w:t>Budget at completion (BAC) = cost baseline + management reserve</w:t>
      </w:r>
    </w:p>
    <w:p>
      <w:pPr>
        <w:pStyle w:val="ListBullet"/>
      </w:pPr>
      <w:r>
        <w:rPr>
          <w:rFonts w:ascii="Arial" w:hAnsi="Arial"/>
          <w:sz w:val="22"/>
        </w:rPr>
        <w:t>Contingency reserve — for identified (known) risks; PM controls it</w:t>
      </w:r>
    </w:p>
    <w:p>
      <w:pPr>
        <w:pStyle w:val="ListBullet"/>
      </w:pPr>
      <w:r>
        <w:rPr>
          <w:rFonts w:ascii="Arial" w:hAnsi="Arial"/>
          <w:sz w:val="22"/>
        </w:rPr>
        <w:t>Management reserve — for unidentified risks; management controls it</w:t>
      </w:r>
    </w:p>
    <w:p>
      <w:pPr>
        <w:pStyle w:val="Heading2"/>
      </w:pPr>
      <w:r>
        <w:t>Quality: planning it in, not inspecting it in</w:t>
      </w:r>
    </w:p>
    <w:p>
      <w:pPr>
        <w:spacing w:after="120"/>
      </w:pPr>
      <w:r>
        <w:rPr>
          <w:rFonts w:ascii="Arial" w:hAnsi="Arial"/>
          <w:b w:val="0"/>
          <w:color w:val="161B26"/>
          <w:sz w:val="22"/>
        </w:rPr>
        <w:t>Quality is conformance to requirements and fitness for use. It is cheaper to prevent than to inspect, and far cheaper to fix early than late — the cost of change curve rises steeply as the project progresses. The cost of quality splits into conformance costs (prevention, appraisal) and non-conformance costs (internal failure, external failure). External failure — the customer finds the defect — is the most expensive outcome of all.</w:t>
      </w:r>
    </w:p>
    <w:p>
      <w:pPr>
        <w:pStyle w:val="ListBullet"/>
      </w:pPr>
      <w:r>
        <w:rPr>
          <w:rFonts w:ascii="Arial" w:hAnsi="Arial"/>
          <w:sz w:val="22"/>
        </w:rPr>
        <w:t>Prevention — training, process design, prototyping; the cheapest lever</w:t>
      </w:r>
    </w:p>
    <w:p>
      <w:pPr>
        <w:pStyle w:val="ListBullet"/>
      </w:pPr>
      <w:r>
        <w:rPr>
          <w:rFonts w:ascii="Arial" w:hAnsi="Arial"/>
          <w:sz w:val="22"/>
        </w:rPr>
        <w:t>Appraisal — inspection, testing, audits; finds defects before the customer</w:t>
      </w:r>
    </w:p>
    <w:p>
      <w:pPr>
        <w:pStyle w:val="ListBullet"/>
      </w:pPr>
      <w:r>
        <w:rPr>
          <w:rFonts w:ascii="Arial" w:hAnsi="Arial"/>
          <w:sz w:val="22"/>
        </w:rPr>
        <w:t>Internal failure — rework caught in-house</w:t>
      </w:r>
    </w:p>
    <w:p>
      <w:pPr>
        <w:pStyle w:val="ListBullet"/>
      </w:pPr>
      <w:r>
        <w:rPr>
          <w:rFonts w:ascii="Arial" w:hAnsi="Arial"/>
          <w:sz w:val="22"/>
        </w:rPr>
        <w:t>External failure — the customer finds it; cost includes reputation</w:t>
      </w:r>
    </w:p>
    <w:p>
      <w:pPr>
        <w:pStyle w:val="ListBullet"/>
      </w:pPr>
      <w:r>
        <w:rPr>
          <w:rFonts w:ascii="Arial" w:hAnsi="Arial"/>
          <w:sz w:val="22"/>
        </w:rPr>
        <w:t>Root cause tools: 5 Whys, fishbone, Pareto, control charts</w:t>
      </w:r>
    </w:p>
    <w:p>
      <w:pPr>
        <w:pStyle w:val="Heading2"/>
      </w:pPr>
      <w:r>
        <w:t>Risk: identification through response</w:t>
      </w:r>
    </w:p>
    <w:p>
      <w:pPr>
        <w:spacing w:after="120"/>
      </w:pPr>
      <w:r>
        <w:rPr>
          <w:rFonts w:ascii="Arial" w:hAnsi="Arial"/>
          <w:b w:val="0"/>
          <w:color w:val="161B26"/>
          <w:sz w:val="22"/>
        </w:rPr>
        <w:t>Risk is an uncertain event that, if it occurs, has a positive or negative effect on objectives. Risks are future and uncertain; issues are present and certain. Qualitative analysis prioritises risks by probability and impact; quantitative analysis models their aggregate effect in money or time. Response strategies mirror each other for threats and opportunities.</w:t>
      </w:r>
    </w:p>
    <w:p>
      <w:pPr>
        <w:pStyle w:val="ListBullet"/>
      </w:pPr>
      <w:r>
        <w:rPr>
          <w:rFonts w:ascii="Arial" w:hAnsi="Arial"/>
          <w:sz w:val="22"/>
        </w:rPr>
        <w:t>Threats: escalate, avoid, transfer, mitigate, accept</w:t>
      </w:r>
    </w:p>
    <w:p>
      <w:pPr>
        <w:pStyle w:val="ListBullet"/>
      </w:pPr>
      <w:r>
        <w:rPr>
          <w:rFonts w:ascii="Arial" w:hAnsi="Arial"/>
          <w:sz w:val="22"/>
        </w:rPr>
        <w:t>Opportunities: escalate, exploit, share, enhance, accept</w:t>
      </w:r>
    </w:p>
    <w:p>
      <w:pPr>
        <w:pStyle w:val="ListBullet"/>
      </w:pPr>
      <w:r>
        <w:rPr>
          <w:rFonts w:ascii="Arial" w:hAnsi="Arial"/>
          <w:sz w:val="22"/>
        </w:rPr>
        <w:t>EMV = probability × impact, summed across outcomes</w:t>
      </w:r>
    </w:p>
    <w:p>
      <w:pPr>
        <w:pStyle w:val="ListBullet"/>
      </w:pPr>
      <w:r>
        <w:rPr>
          <w:rFonts w:ascii="Arial" w:hAnsi="Arial"/>
          <w:sz w:val="22"/>
        </w:rPr>
        <w:t>Secondary risk arises FROM your response; residual risk remains after it</w:t>
      </w:r>
    </w:p>
    <w:p>
      <w:pPr>
        <w:pStyle w:val="ListBullet"/>
      </w:pPr>
      <w:r>
        <w:rPr>
          <w:rFonts w:ascii="Arial" w:hAnsi="Arial"/>
          <w:sz w:val="22"/>
        </w:rPr>
        <w:t>A risk that has occurred is no longer a risk — it is an issue</w:t>
      </w:r>
    </w:p>
    <w:p>
      <w:pPr>
        <w:pStyle w:val="Heading2"/>
      </w:pPr>
      <w:r>
        <w:t>Procurement and contract types</w:t>
      </w:r>
    </w:p>
    <w:p>
      <w:pPr>
        <w:spacing w:after="120"/>
      </w:pPr>
      <w:r>
        <w:rPr>
          <w:rFonts w:ascii="Arial" w:hAnsi="Arial"/>
          <w:b w:val="0"/>
          <w:color w:val="161B26"/>
          <w:sz w:val="22"/>
        </w:rPr>
        <w:t>Contract type determines who carries cost risk. Fixed-price contracts place risk on the seller and suit well-defined scope. Cost-reimbursable contracts place risk on the buyer and suit uncertain scope. Time and materials sits between the two and suits small or urgent engagements where scope is not yet clear.</w:t>
      </w:r>
    </w:p>
    <w:p>
      <w:pPr>
        <w:pStyle w:val="ListBullet"/>
      </w:pPr>
      <w:r>
        <w:rPr>
          <w:rFonts w:ascii="Arial" w:hAnsi="Arial"/>
          <w:sz w:val="22"/>
        </w:rPr>
        <w:t>Firm fixed price (FFP) — seller carries the cost risk entirely</w:t>
      </w:r>
    </w:p>
    <w:p>
      <w:pPr>
        <w:pStyle w:val="ListBullet"/>
      </w:pPr>
      <w:r>
        <w:rPr>
          <w:rFonts w:ascii="Arial" w:hAnsi="Arial"/>
          <w:sz w:val="22"/>
        </w:rPr>
        <w:t>Fixed price incentive fee (FPIF) — shared risk with a performance incentive</w:t>
      </w:r>
    </w:p>
    <w:p>
      <w:pPr>
        <w:pStyle w:val="ListBullet"/>
      </w:pPr>
      <w:r>
        <w:rPr>
          <w:rFonts w:ascii="Arial" w:hAnsi="Arial"/>
          <w:sz w:val="22"/>
        </w:rPr>
        <w:t>Cost plus fixed fee (CPFF) — buyer carries cost risk; fee is fixed</w:t>
      </w:r>
    </w:p>
    <w:p>
      <w:pPr>
        <w:pStyle w:val="ListBullet"/>
      </w:pPr>
      <w:r>
        <w:rPr>
          <w:rFonts w:ascii="Arial" w:hAnsi="Arial"/>
          <w:sz w:val="22"/>
        </w:rPr>
        <w:t>Cost plus incentive/award fee (CPIF/CPAF) — buyer risk with incentives</w:t>
      </w:r>
    </w:p>
    <w:p>
      <w:pPr>
        <w:pStyle w:val="ListBullet"/>
      </w:pPr>
      <w:r>
        <w:rPr>
          <w:rFonts w:ascii="Arial" w:hAnsi="Arial"/>
          <w:sz w:val="22"/>
        </w:rPr>
        <w:t>Time and materials (T&amp;M) — hybrid; cap it or it becomes open-ended</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09</w:t>
            </w:r>
          </w:p>
        </w:tc>
        <w:tc>
          <w:tcPr>
            <w:tcW w:type="dxa" w:w="1234"/>
          </w:tcPr>
          <w:p>
            <w:r/>
            <w:r>
              <w:rPr>
                <w:rFonts w:ascii="Arial" w:hAnsi="Arial"/>
                <w:b w:val="0"/>
                <w:color w:val="5B6372"/>
                <w:sz w:val="18"/>
              </w:rPr>
              <w:t>Requirements Elicitation and Traceability Matrix</w:t>
            </w:r>
          </w:p>
        </w:tc>
        <w:tc>
          <w:tcPr>
            <w:tcW w:type="dxa" w:w="1234"/>
          </w:tcPr>
          <w:p>
            <w:r/>
            <w:r>
              <w:rPr>
                <w:rFonts w:ascii="Arial" w:hAnsi="Arial"/>
                <w:b w:val="0"/>
                <w:color w:val="5B6372"/>
                <w:sz w:val="18"/>
              </w:rPr>
              <w:t>Process T2</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Requirements list, RTM</w:t>
            </w:r>
          </w:p>
        </w:tc>
      </w:tr>
      <w:tr>
        <w:tc>
          <w:tcPr>
            <w:tcW w:type="dxa" w:w="1234"/>
            <w:shd w:val="clear" w:fill="E8F0FE"/>
          </w:tcPr>
          <w:p>
            <w:r/>
            <w:r>
              <w:rPr>
                <w:rFonts w:ascii="Arial" w:hAnsi="Arial"/>
                <w:b/>
                <w:color w:val="161B26"/>
                <w:sz w:val="18"/>
              </w:rPr>
              <w:t>10</w:t>
            </w:r>
          </w:p>
        </w:tc>
        <w:tc>
          <w:tcPr>
            <w:tcW w:type="dxa" w:w="1234"/>
          </w:tcPr>
          <w:p>
            <w:r/>
            <w:r>
              <w:rPr>
                <w:rFonts w:ascii="Arial" w:hAnsi="Arial"/>
                <w:b w:val="0"/>
                <w:color w:val="5B6372"/>
                <w:sz w:val="18"/>
              </w:rPr>
              <w:t>MoSCoW and Kano Prioritisation with Product Backlog</w:t>
            </w:r>
          </w:p>
        </w:tc>
        <w:tc>
          <w:tcPr>
            <w:tcW w:type="dxa" w:w="1234"/>
          </w:tcPr>
          <w:p>
            <w:r/>
            <w:r>
              <w:rPr>
                <w:rFonts w:ascii="Arial" w:hAnsi="Arial"/>
                <w:b w:val="0"/>
                <w:color w:val="5B6372"/>
                <w:sz w:val="18"/>
              </w:rPr>
              <w:t>Process T3</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Prioritised backlog, Story point estimates</w:t>
            </w:r>
          </w:p>
        </w:tc>
      </w:tr>
      <w:tr>
        <w:tc>
          <w:tcPr>
            <w:tcW w:type="dxa" w:w="1234"/>
            <w:shd w:val="clear" w:fill="E8F0FE"/>
          </w:tcPr>
          <w:p>
            <w:r/>
            <w:r>
              <w:rPr>
                <w:rFonts w:ascii="Arial" w:hAnsi="Arial"/>
                <w:b/>
                <w:color w:val="161B26"/>
                <w:sz w:val="18"/>
              </w:rPr>
              <w:t>11</w:t>
            </w:r>
          </w:p>
        </w:tc>
        <w:tc>
          <w:tcPr>
            <w:tcW w:type="dxa" w:w="1234"/>
          </w:tcPr>
          <w:p>
            <w:r/>
            <w:r>
              <w:rPr>
                <w:rFonts w:ascii="Arial" w:hAnsi="Arial"/>
                <w:b w:val="0"/>
                <w:color w:val="5B6372"/>
                <w:sz w:val="18"/>
              </w:rPr>
              <w:t>Work Breakdown Structure and WBS Dictionary</w:t>
            </w:r>
          </w:p>
        </w:tc>
        <w:tc>
          <w:tcPr>
            <w:tcW w:type="dxa" w:w="1234"/>
          </w:tcPr>
          <w:p>
            <w:r/>
            <w:r>
              <w:rPr>
                <w:rFonts w:ascii="Arial" w:hAnsi="Arial"/>
                <w:b w:val="0"/>
                <w:color w:val="5B6372"/>
                <w:sz w:val="18"/>
              </w:rPr>
              <w:t>Process T2</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WBS, WBS dictionary, Scope baseline</w:t>
            </w:r>
          </w:p>
        </w:tc>
      </w:tr>
      <w:tr>
        <w:tc>
          <w:tcPr>
            <w:tcW w:type="dxa" w:w="1234"/>
            <w:shd w:val="clear" w:fill="E8F0FE"/>
          </w:tcPr>
          <w:p>
            <w:r/>
            <w:r>
              <w:rPr>
                <w:rFonts w:ascii="Arial" w:hAnsi="Arial"/>
                <w:b/>
                <w:color w:val="161B26"/>
                <w:sz w:val="18"/>
              </w:rPr>
              <w:t>12</w:t>
            </w:r>
          </w:p>
        </w:tc>
        <w:tc>
          <w:tcPr>
            <w:tcW w:type="dxa" w:w="1234"/>
          </w:tcPr>
          <w:p>
            <w:r/>
            <w:r>
              <w:rPr>
                <w:rFonts w:ascii="Arial" w:hAnsi="Arial"/>
                <w:b w:val="0"/>
                <w:color w:val="5B6372"/>
                <w:sz w:val="18"/>
              </w:rPr>
              <w:t>Network Diagram, PERT Estimating and Critical Path</w:t>
            </w:r>
          </w:p>
        </w:tc>
        <w:tc>
          <w:tcPr>
            <w:tcW w:type="dxa" w:w="1234"/>
          </w:tcPr>
          <w:p>
            <w:r/>
            <w:r>
              <w:rPr>
                <w:rFonts w:ascii="Arial" w:hAnsi="Arial"/>
                <w:b w:val="0"/>
                <w:color w:val="5B6372"/>
                <w:sz w:val="18"/>
              </w:rPr>
              <w:t>Process T8</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Network diagram, Critical path, Float table</w:t>
            </w:r>
          </w:p>
        </w:tc>
      </w:tr>
      <w:tr>
        <w:tc>
          <w:tcPr>
            <w:tcW w:type="dxa" w:w="1234"/>
            <w:shd w:val="clear" w:fill="E8F0FE"/>
          </w:tcPr>
          <w:p>
            <w:r/>
            <w:r>
              <w:rPr>
                <w:rFonts w:ascii="Arial" w:hAnsi="Arial"/>
                <w:b/>
                <w:color w:val="161B26"/>
                <w:sz w:val="18"/>
              </w:rPr>
              <w:t>13</w:t>
            </w:r>
          </w:p>
        </w:tc>
        <w:tc>
          <w:tcPr>
            <w:tcW w:type="dxa" w:w="1234"/>
          </w:tcPr>
          <w:p>
            <w:r/>
            <w:r>
              <w:rPr>
                <w:rFonts w:ascii="Arial" w:hAnsi="Arial"/>
                <w:b w:val="0"/>
                <w:color w:val="5B6372"/>
                <w:sz w:val="18"/>
              </w:rPr>
              <w:t>Cost Estimating, Budget and Reserve Analysis</w:t>
            </w:r>
          </w:p>
        </w:tc>
        <w:tc>
          <w:tcPr>
            <w:tcW w:type="dxa" w:w="1234"/>
          </w:tcPr>
          <w:p>
            <w:r/>
            <w:r>
              <w:rPr>
                <w:rFonts w:ascii="Arial" w:hAnsi="Arial"/>
                <w:b w:val="0"/>
                <w:color w:val="5B6372"/>
                <w:sz w:val="18"/>
              </w:rPr>
              <w:t>Process T6</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Cost estimates, Cost baseline, Reserve plan</w:t>
            </w:r>
          </w:p>
        </w:tc>
      </w:tr>
      <w:tr>
        <w:tc>
          <w:tcPr>
            <w:tcW w:type="dxa" w:w="1234"/>
            <w:shd w:val="clear" w:fill="E8F0FE"/>
          </w:tcPr>
          <w:p>
            <w:r/>
            <w:r>
              <w:rPr>
                <w:rFonts w:ascii="Arial" w:hAnsi="Arial"/>
                <w:b/>
                <w:color w:val="161B26"/>
                <w:sz w:val="18"/>
              </w:rPr>
              <w:t>14</w:t>
            </w:r>
          </w:p>
        </w:tc>
        <w:tc>
          <w:tcPr>
            <w:tcW w:type="dxa" w:w="1234"/>
          </w:tcPr>
          <w:p>
            <w:r/>
            <w:r>
              <w:rPr>
                <w:rFonts w:ascii="Arial" w:hAnsi="Arial"/>
                <w:b w:val="0"/>
                <w:color w:val="5B6372"/>
                <w:sz w:val="18"/>
              </w:rPr>
              <w:t>Risk Register, Probability/Impact Matrix and EMV Decision Tree</w:t>
            </w:r>
          </w:p>
        </w:tc>
        <w:tc>
          <w:tcPr>
            <w:tcW w:type="dxa" w:w="1234"/>
          </w:tcPr>
          <w:p>
            <w:r/>
            <w:r>
              <w:rPr>
                <w:rFonts w:ascii="Arial" w:hAnsi="Arial"/>
                <w:b w:val="0"/>
                <w:color w:val="5B6372"/>
                <w:sz w:val="18"/>
              </w:rPr>
              <w:t>BE T5</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Risk register, P/I matrix, EMV decision tree</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State the 100% rule and explain what it prohibits.</w:t>
      </w:r>
    </w:p>
    <w:p>
      <w:pPr>
        <w:pStyle w:val="ListNumber"/>
      </w:pPr>
      <w:r>
        <w:rPr>
          <w:rFonts w:ascii="Arial" w:hAnsi="Arial"/>
          <w:sz w:val="22"/>
        </w:rPr>
        <w:t>Given O=4, M=6, P=14 days, calculate the PERT estimate and the standard deviation.</w:t>
      </w:r>
    </w:p>
    <w:p>
      <w:pPr>
        <w:pStyle w:val="ListNumber"/>
      </w:pPr>
      <w:r>
        <w:rPr>
          <w:rFonts w:ascii="Arial" w:hAnsi="Arial"/>
          <w:sz w:val="22"/>
        </w:rPr>
        <w:t>Distinguish total float from free float, and state the float of an activity on the critical path.</w:t>
      </w:r>
    </w:p>
    <w:p>
      <w:pPr>
        <w:pStyle w:val="ListNumber"/>
      </w:pPr>
      <w:r>
        <w:rPr>
          <w:rFonts w:ascii="Arial" w:hAnsi="Arial"/>
          <w:sz w:val="22"/>
        </w:rPr>
        <w:t>A risk has a 30% probability and a $80,000 impact. Calculate the EMV and explain how you would use it.</w:t>
      </w:r>
    </w:p>
    <w:p>
      <w:pPr>
        <w:pStyle w:val="ListNumber"/>
      </w:pPr>
      <w:r>
        <w:rPr>
          <w:rFonts w:ascii="Arial" w:hAnsi="Arial"/>
          <w:sz w:val="22"/>
        </w:rPr>
        <w:t>Contrast contingency reserve with management reserve, including who controls each.</w:t>
      </w:r>
    </w:p>
    <w:p>
      <w:pPr>
        <w:pStyle w:val="ListNumber"/>
      </w:pPr>
      <w:r>
        <w:rPr>
          <w:rFonts w:ascii="Arial" w:hAnsi="Arial"/>
          <w:sz w:val="22"/>
        </w:rPr>
        <w:t>Which contract type would you choose for a well-defined deliverable with a fixed specification, and who carries the cost risk?</w:t>
      </w:r>
    </w:p>
    <w:p>
      <w:pPr>
        <w:pStyle w:val="ListNumber"/>
      </w:pPr>
      <w:r>
        <w:rPr>
          <w:rFonts w:ascii="Arial" w:hAnsi="Arial"/>
          <w:sz w:val="22"/>
        </w:rPr>
        <w:t>Distinguish scope creep from gold plating, and state why gold plating is never acceptable.</w:t>
      </w:r>
    </w:p>
    <w:p>
      <w:pPr>
        <w:pStyle w:val="ListNumber"/>
      </w:pPr>
      <w:r>
        <w:rPr>
          <w:rFonts w:ascii="Arial" w:hAnsi="Arial"/>
          <w:sz w:val="22"/>
        </w:rPr>
        <w:t>List the five threat response strategies and their opportunity mirrors.</w:t>
      </w:r>
    </w:p>
    <w:p>
      <w:r>
        <w:br w:type="page"/>
      </w:r>
    </w:p>
    <w:p>
      <w:pPr>
        <w:pStyle w:val="Heading1"/>
      </w:pPr>
      <w:r>
        <w:t>Topic 4. Lead the Project Team</w:t>
      </w:r>
    </w:p>
    <w:p>
      <w:pPr>
        <w:spacing w:after="120"/>
      </w:pPr>
      <w:r>
        <w:rPr>
          <w:rFonts w:ascii="Arial" w:hAnsi="Arial"/>
          <w:b w:val="0"/>
          <w:color w:val="161B26"/>
          <w:sz w:val="22"/>
        </w:rPr>
        <w:t>The People domain in practice — leadership style, motivation, conflict, coaching and communication.</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People T1</w:t>
            </w:r>
          </w:p>
        </w:tc>
        <w:tc>
          <w:tcPr>
            <w:tcW w:type="dxa" w:w="2880"/>
          </w:tcPr>
          <w:p>
            <w:r/>
            <w:r>
              <w:rPr>
                <w:rFonts w:ascii="Arial" w:hAnsi="Arial"/>
                <w:b w:val="0"/>
                <w:color w:val="5B6372"/>
                <w:sz w:val="18"/>
              </w:rPr>
              <w:t>Develop a common vision</w:t>
            </w:r>
          </w:p>
        </w:tc>
        <w:tc>
          <w:tcPr>
            <w:tcW w:type="dxa" w:w="2880"/>
          </w:tcPr>
          <w:p>
            <w:r/>
            <w:r>
              <w:rPr>
                <w:rFonts w:ascii="Arial" w:hAnsi="Arial"/>
                <w:b w:val="0"/>
                <w:color w:val="5B6372"/>
                <w:sz w:val="18"/>
              </w:rPr>
              <w:t>Help ensure a shared vision with key stakeholders; Promote the shared vision; Keep the vision current; Break down situations to identify the root cause of a misunderstanding of the vision</w:t>
            </w:r>
          </w:p>
        </w:tc>
      </w:tr>
      <w:tr>
        <w:tc>
          <w:tcPr>
            <w:tcW w:type="dxa" w:w="2880"/>
            <w:shd w:val="clear" w:fill="E8F0FE"/>
          </w:tcPr>
          <w:p>
            <w:r/>
            <w:r>
              <w:rPr>
                <w:rFonts w:ascii="Arial" w:hAnsi="Arial"/>
                <w:b/>
                <w:color w:val="161B26"/>
                <w:sz w:val="18"/>
              </w:rPr>
              <w:t>People T2</w:t>
            </w:r>
          </w:p>
        </w:tc>
        <w:tc>
          <w:tcPr>
            <w:tcW w:type="dxa" w:w="2880"/>
          </w:tcPr>
          <w:p>
            <w:r/>
            <w:r>
              <w:rPr>
                <w:rFonts w:ascii="Arial" w:hAnsi="Arial"/>
                <w:b w:val="0"/>
                <w:color w:val="5B6372"/>
                <w:sz w:val="18"/>
              </w:rPr>
              <w:t>Manage conflicts</w:t>
            </w:r>
          </w:p>
        </w:tc>
        <w:tc>
          <w:tcPr>
            <w:tcW w:type="dxa" w:w="2880"/>
          </w:tcPr>
          <w:p>
            <w:r/>
            <w:r>
              <w:rPr>
                <w:rFonts w:ascii="Arial" w:hAnsi="Arial"/>
                <w:b w:val="0"/>
                <w:color w:val="5B6372"/>
                <w:sz w:val="18"/>
              </w:rPr>
              <w:t>Identify conflict sources; Analyze the context for the conflict; Implement an agreed-on resolution strategy; Communicate conflict management principles with the team and external stakeholders; Establish an environment that fosters adherence to common ground rules; Manage and rectify ground rule violations</w:t>
            </w:r>
          </w:p>
        </w:tc>
      </w:tr>
      <w:tr>
        <w:tc>
          <w:tcPr>
            <w:tcW w:type="dxa" w:w="2880"/>
            <w:shd w:val="clear" w:fill="E8F0FE"/>
          </w:tcPr>
          <w:p>
            <w:r/>
            <w:r>
              <w:rPr>
                <w:rFonts w:ascii="Arial" w:hAnsi="Arial"/>
                <w:b/>
                <w:color w:val="161B26"/>
                <w:sz w:val="18"/>
              </w:rPr>
              <w:t>People T3</w:t>
            </w:r>
          </w:p>
        </w:tc>
        <w:tc>
          <w:tcPr>
            <w:tcW w:type="dxa" w:w="2880"/>
          </w:tcPr>
          <w:p>
            <w:r/>
            <w:r>
              <w:rPr>
                <w:rFonts w:ascii="Arial" w:hAnsi="Arial"/>
                <w:b w:val="0"/>
                <w:color w:val="5B6372"/>
                <w:sz w:val="18"/>
              </w:rPr>
              <w:t>Lead the project team</w:t>
            </w:r>
          </w:p>
        </w:tc>
        <w:tc>
          <w:tcPr>
            <w:tcW w:type="dxa" w:w="2880"/>
          </w:tcPr>
          <w:p>
            <w:r/>
            <w:r>
              <w:rPr>
                <w:rFonts w:ascii="Arial" w:hAnsi="Arial"/>
                <w:b w:val="0"/>
                <w:color w:val="5B6372"/>
                <w:sz w:val="18"/>
              </w:rPr>
              <w:t>Establish expectations at the team level; Empower the team; Solve problems; Represent the voice of the team; Support the team's varied experiences, skills, and perspectives; Determine an appropriate leadership style; Establish clear roles and responsibilities within the team</w:t>
            </w:r>
          </w:p>
        </w:tc>
      </w:tr>
      <w:tr>
        <w:tc>
          <w:tcPr>
            <w:tcW w:type="dxa" w:w="2880"/>
            <w:shd w:val="clear" w:fill="E8F0FE"/>
          </w:tcPr>
          <w:p>
            <w:r/>
            <w:r>
              <w:rPr>
                <w:rFonts w:ascii="Arial" w:hAnsi="Arial"/>
                <w:b/>
                <w:color w:val="161B26"/>
                <w:sz w:val="18"/>
              </w:rPr>
              <w:t>People T7</w:t>
            </w:r>
          </w:p>
        </w:tc>
        <w:tc>
          <w:tcPr>
            <w:tcW w:type="dxa" w:w="2880"/>
          </w:tcPr>
          <w:p>
            <w:r/>
            <w:r>
              <w:rPr>
                <w:rFonts w:ascii="Arial" w:hAnsi="Arial"/>
                <w:b w:val="0"/>
                <w:color w:val="5B6372"/>
                <w:sz w:val="18"/>
              </w:rPr>
              <w:t>Help ensure knowledge transfer</w:t>
            </w:r>
          </w:p>
        </w:tc>
        <w:tc>
          <w:tcPr>
            <w:tcW w:type="dxa" w:w="2880"/>
          </w:tcPr>
          <w:p>
            <w:r/>
            <w:r>
              <w:rPr>
                <w:rFonts w:ascii="Arial" w:hAnsi="Arial"/>
                <w:b w:val="0"/>
                <w:color w:val="5B6372"/>
                <w:sz w:val="18"/>
              </w:rPr>
              <w:t>Identify knowledge critical to the project; Gather knowledge; Foster an environment for knowledge transfer</w:t>
            </w:r>
          </w:p>
        </w:tc>
      </w:tr>
      <w:tr>
        <w:tc>
          <w:tcPr>
            <w:tcW w:type="dxa" w:w="2880"/>
            <w:shd w:val="clear" w:fill="E8F0FE"/>
          </w:tcPr>
          <w:p>
            <w:r/>
            <w:r>
              <w:rPr>
                <w:rFonts w:ascii="Arial" w:hAnsi="Arial"/>
                <w:b/>
                <w:color w:val="161B26"/>
                <w:sz w:val="18"/>
              </w:rPr>
              <w:t>People T8</w:t>
            </w:r>
          </w:p>
        </w:tc>
        <w:tc>
          <w:tcPr>
            <w:tcW w:type="dxa" w:w="2880"/>
          </w:tcPr>
          <w:p>
            <w:r/>
            <w:r>
              <w:rPr>
                <w:rFonts w:ascii="Arial" w:hAnsi="Arial"/>
                <w:b w:val="0"/>
                <w:color w:val="5B6372"/>
                <w:sz w:val="18"/>
              </w:rPr>
              <w:t>Plan and manage communication</w:t>
            </w:r>
          </w:p>
        </w:tc>
        <w:tc>
          <w:tcPr>
            <w:tcW w:type="dxa" w:w="2880"/>
          </w:tcPr>
          <w:p>
            <w:r/>
            <w:r>
              <w:rPr>
                <w:rFonts w:ascii="Arial" w:hAnsi="Arial"/>
                <w:b w:val="0"/>
                <w:color w:val="5B6372"/>
                <w:sz w:val="18"/>
              </w:rPr>
              <w:t>Define a communication strategy; Promote transparency and collaboration; Establish a feedback loop; Understand reporting requirements; Create reports aligned with sponsors and stakeholder expectations; Support reporting and governance processes</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bl>
    <w:p>
      <w:pPr>
        <w:pStyle w:val="Heading2"/>
      </w:pPr>
      <w:r>
        <w:t>What This Topic Covers</w:t>
      </w:r>
    </w:p>
    <w:p>
      <w:pPr>
        <w:pStyle w:val="ListBullet"/>
      </w:pPr>
      <w:r>
        <w:rPr>
          <w:rFonts w:ascii="Arial" w:hAnsi="Arial"/>
          <w:sz w:val="22"/>
        </w:rPr>
        <w:t>Direct and manage project work</w:t>
      </w:r>
    </w:p>
    <w:p>
      <w:pPr>
        <w:pStyle w:val="ListBullet"/>
      </w:pPr>
      <w:r>
        <w:rPr>
          <w:rFonts w:ascii="Arial" w:hAnsi="Arial"/>
          <w:sz w:val="22"/>
        </w:rPr>
        <w:t>Craft your leadership skills</w:t>
      </w:r>
    </w:p>
    <w:p>
      <w:pPr>
        <w:pStyle w:val="ListBullet"/>
      </w:pPr>
      <w:r>
        <w:rPr>
          <w:rFonts w:ascii="Arial" w:hAnsi="Arial"/>
          <w:sz w:val="22"/>
        </w:rPr>
        <w:t>Build a collaborative team environment</w:t>
      </w:r>
    </w:p>
    <w:p>
      <w:pPr>
        <w:pStyle w:val="ListBullet"/>
      </w:pPr>
      <w:r>
        <w:rPr>
          <w:rFonts w:ascii="Arial" w:hAnsi="Arial"/>
          <w:sz w:val="22"/>
        </w:rPr>
        <w:t>Empower the team and support performance</w:t>
      </w:r>
    </w:p>
    <w:p>
      <w:pPr>
        <w:pStyle w:val="ListBullet"/>
      </w:pPr>
      <w:r>
        <w:rPr>
          <w:rFonts w:ascii="Arial" w:hAnsi="Arial"/>
          <w:sz w:val="22"/>
        </w:rPr>
        <w:t>Training, coaching and mentoring</w:t>
      </w:r>
    </w:p>
    <w:p>
      <w:pPr>
        <w:pStyle w:val="ListBullet"/>
      </w:pPr>
      <w:r>
        <w:rPr>
          <w:rFonts w:ascii="Arial" w:hAnsi="Arial"/>
          <w:sz w:val="22"/>
        </w:rPr>
        <w:t>Manage conflict and negotiate</w:t>
      </w:r>
    </w:p>
    <w:p>
      <w:pPr>
        <w:pStyle w:val="Heading2"/>
      </w:pPr>
      <w:r>
        <w:t>Leadership style and the servant leader</w:t>
      </w:r>
    </w:p>
    <w:p>
      <w:pPr>
        <w:spacing w:after="120"/>
      </w:pPr>
      <w:r>
        <w:rPr>
          <w:rFonts w:ascii="Arial" w:hAnsi="Arial"/>
          <w:b w:val="0"/>
          <w:color w:val="161B26"/>
          <w:sz w:val="22"/>
        </w:rPr>
        <w:t>There is no single correct leadership style; the ECO asks you to *determine an appropriate* style for the situation, team maturity and organisational context. Servant leadership — the dominant model in adaptive environments — inverts the usual hierarchy: the leader's job is to remove impediments, grow people and make it safe to raise problems, so the team can do the work.</w:t>
      </w:r>
    </w:p>
    <w:p>
      <w:pPr>
        <w:pStyle w:val="ListBullet"/>
      </w:pPr>
      <w:r>
        <w:rPr>
          <w:rFonts w:ascii="Arial" w:hAnsi="Arial"/>
          <w:sz w:val="22"/>
        </w:rPr>
        <w:t>Servant leadership — serve the team so the team can deliver</w:t>
      </w:r>
    </w:p>
    <w:p>
      <w:pPr>
        <w:pStyle w:val="ListBullet"/>
      </w:pPr>
      <w:r>
        <w:rPr>
          <w:rFonts w:ascii="Arial" w:hAnsi="Arial"/>
          <w:sz w:val="22"/>
        </w:rPr>
        <w:t>Transformational — inspire through vision and individual attention</w:t>
      </w:r>
    </w:p>
    <w:p>
      <w:pPr>
        <w:pStyle w:val="ListBullet"/>
      </w:pPr>
      <w:r>
        <w:rPr>
          <w:rFonts w:ascii="Arial" w:hAnsi="Arial"/>
          <w:sz w:val="22"/>
        </w:rPr>
        <w:t>Transactional — exchange reward for defined performance</w:t>
      </w:r>
    </w:p>
    <w:p>
      <w:pPr>
        <w:pStyle w:val="ListBullet"/>
      </w:pPr>
      <w:r>
        <w:rPr>
          <w:rFonts w:ascii="Arial" w:hAnsi="Arial"/>
          <w:sz w:val="22"/>
        </w:rPr>
        <w:t>Laissez-faire — hands off; only works with a mature, self-organising team</w:t>
      </w:r>
    </w:p>
    <w:p>
      <w:pPr>
        <w:pStyle w:val="ListBullet"/>
      </w:pPr>
      <w:r>
        <w:rPr>
          <w:rFonts w:ascii="Arial" w:hAnsi="Arial"/>
          <w:sz w:val="22"/>
        </w:rPr>
        <w:t>Situational — deliberately vary the style by person and circumstance</w:t>
      </w:r>
    </w:p>
    <w:p>
      <w:pPr>
        <w:pStyle w:val="Heading2"/>
      </w:pPr>
      <w:r>
        <w:t>Team development and motivation</w:t>
      </w:r>
    </w:p>
    <w:p>
      <w:pPr>
        <w:spacing w:after="120"/>
      </w:pPr>
      <w:r>
        <w:rPr>
          <w:rFonts w:ascii="Arial" w:hAnsi="Arial"/>
          <w:b w:val="0"/>
          <w:color w:val="161B26"/>
          <w:sz w:val="22"/>
        </w:rPr>
        <w:t>Tuckman's model — forming, storming, norming, performing, adjourning — describes how teams mature, and each stage calls for different leadership. Storming is normal and necessary, not a failure. Motivation theory tells you what to reach for: Herzberg separates hygiene factors (whose absence demotivates) from motivators (whose presence motivates), which is why a pay rise fixes dissatisfaction but does not create engagement.</w:t>
      </w:r>
    </w:p>
    <w:p>
      <w:pPr>
        <w:pStyle w:val="ListBullet"/>
      </w:pPr>
      <w:r>
        <w:rPr>
          <w:rFonts w:ascii="Arial" w:hAnsi="Arial"/>
          <w:sz w:val="22"/>
        </w:rPr>
        <w:t>Forming — provide direction and clarify purpose</w:t>
      </w:r>
    </w:p>
    <w:p>
      <w:pPr>
        <w:pStyle w:val="ListBullet"/>
      </w:pPr>
      <w:r>
        <w:rPr>
          <w:rFonts w:ascii="Arial" w:hAnsi="Arial"/>
          <w:sz w:val="22"/>
        </w:rPr>
        <w:t>Storming — facilitate conflict; do not suppress it</w:t>
      </w:r>
    </w:p>
    <w:p>
      <w:pPr>
        <w:pStyle w:val="ListBullet"/>
      </w:pPr>
      <w:r>
        <w:rPr>
          <w:rFonts w:ascii="Arial" w:hAnsi="Arial"/>
          <w:sz w:val="22"/>
        </w:rPr>
        <w:t>Norming — reinforce the working agreements the team has built</w:t>
      </w:r>
    </w:p>
    <w:p>
      <w:pPr>
        <w:pStyle w:val="ListBullet"/>
      </w:pPr>
      <w:r>
        <w:rPr>
          <w:rFonts w:ascii="Arial" w:hAnsi="Arial"/>
          <w:sz w:val="22"/>
        </w:rPr>
        <w:t>Performing — delegate and remove blockers; stay out of the way</w:t>
      </w:r>
    </w:p>
    <w:p>
      <w:pPr>
        <w:pStyle w:val="ListBullet"/>
      </w:pPr>
      <w:r>
        <w:rPr>
          <w:rFonts w:ascii="Arial" w:hAnsi="Arial"/>
          <w:sz w:val="22"/>
        </w:rPr>
        <w:t>Adjourning — recognise contribution and capture lessons learned</w:t>
      </w:r>
    </w:p>
    <w:p>
      <w:pPr>
        <w:pStyle w:val="Heading2"/>
      </w:pPr>
      <w:r>
        <w:t>Conflict management — the most examined People topic</w:t>
      </w:r>
    </w:p>
    <w:p>
      <w:pPr>
        <w:spacing w:after="120"/>
      </w:pPr>
      <w:r>
        <w:rPr>
          <w:rFonts w:ascii="Arial" w:hAnsi="Arial"/>
          <w:b w:val="0"/>
          <w:color w:val="161B26"/>
          <w:sz w:val="22"/>
        </w:rPr>
        <w:t>Conflict is inevitable and, handled well, productive. The five modes trade off assertiveness against cooperativeness. Collaborating (problem solving) produces a genuine win-win and is the preferred answer in most exam situations, because it addresses the underlying need rather than splitting the difference. Forcing and avoiding are appropriate only in narrow circumstances — emergencies, or trivia not worth the cost of resolution.</w:t>
      </w:r>
    </w:p>
    <w:p>
      <w:pPr>
        <w:pStyle w:val="ListBullet"/>
      </w:pPr>
      <w:r>
        <w:rPr>
          <w:rFonts w:ascii="Arial" w:hAnsi="Arial"/>
          <w:sz w:val="22"/>
        </w:rPr>
        <w:t>Collaborate / problem solve — win-win; the usual best answer</w:t>
      </w:r>
    </w:p>
    <w:p>
      <w:pPr>
        <w:pStyle w:val="ListBullet"/>
      </w:pPr>
      <w:r>
        <w:rPr>
          <w:rFonts w:ascii="Arial" w:hAnsi="Arial"/>
          <w:sz w:val="22"/>
        </w:rPr>
        <w:t>Compromise / reconcile — lose-lose; both give something up</w:t>
      </w:r>
    </w:p>
    <w:p>
      <w:pPr>
        <w:pStyle w:val="ListBullet"/>
      </w:pPr>
      <w:r>
        <w:rPr>
          <w:rFonts w:ascii="Arial" w:hAnsi="Arial"/>
          <w:sz w:val="22"/>
        </w:rPr>
        <w:t>Smooth / accommodate — lose-win; preserves the relationship</w:t>
      </w:r>
    </w:p>
    <w:p>
      <w:pPr>
        <w:pStyle w:val="ListBullet"/>
      </w:pPr>
      <w:r>
        <w:rPr>
          <w:rFonts w:ascii="Arial" w:hAnsi="Arial"/>
          <w:sz w:val="22"/>
        </w:rPr>
        <w:t>Force / direct — win-lose; fast, but damages trust</w:t>
      </w:r>
    </w:p>
    <w:p>
      <w:pPr>
        <w:pStyle w:val="ListBullet"/>
      </w:pPr>
      <w:r>
        <w:rPr>
          <w:rFonts w:ascii="Arial" w:hAnsi="Arial"/>
          <w:sz w:val="22"/>
        </w:rPr>
        <w:t>Withdraw / avoid — defers; appropriate only for trivia or cooling off</w:t>
      </w:r>
    </w:p>
    <w:p>
      <w:pPr>
        <w:pStyle w:val="Heading2"/>
      </w:pPr>
      <w:r>
        <w:t>Communication</w:t>
      </w:r>
    </w:p>
    <w:p>
      <w:pPr>
        <w:spacing w:after="120"/>
      </w:pPr>
      <w:r>
        <w:rPr>
          <w:rFonts w:ascii="Arial" w:hAnsi="Arial"/>
          <w:b w:val="0"/>
          <w:color w:val="161B26"/>
          <w:sz w:val="22"/>
        </w:rPr>
        <w:t>Communication consumes most of a project manager's time. The channels formula, N(N−1)/2, shows why: adding people to a team increases the communication burden quadratically. A communications management plan defines who needs what information, in what format, how often, and through which method — push, pull or interactive.</w:t>
      </w:r>
    </w:p>
    <w:p>
      <w:pPr>
        <w:pStyle w:val="ListBullet"/>
      </w:pPr>
      <w:r>
        <w:rPr>
          <w:rFonts w:ascii="Arial" w:hAnsi="Arial"/>
          <w:sz w:val="22"/>
        </w:rPr>
        <w:t>Channels = N(N − 1) / 2 — ten people means forty-five channels</w:t>
      </w:r>
    </w:p>
    <w:p>
      <w:pPr>
        <w:pStyle w:val="ListBullet"/>
      </w:pPr>
      <w:r>
        <w:rPr>
          <w:rFonts w:ascii="Arial" w:hAnsi="Arial"/>
          <w:sz w:val="22"/>
        </w:rPr>
        <w:t>Push — sent to recipients (email, reports); no confirmation of understanding</w:t>
      </w:r>
    </w:p>
    <w:p>
      <w:pPr>
        <w:pStyle w:val="ListBullet"/>
      </w:pPr>
      <w:r>
        <w:rPr>
          <w:rFonts w:ascii="Arial" w:hAnsi="Arial"/>
          <w:sz w:val="22"/>
        </w:rPr>
        <w:t>Pull — recipients retrieve it (portals, dashboards); suits large audiences</w:t>
      </w:r>
    </w:p>
    <w:p>
      <w:pPr>
        <w:pStyle w:val="ListBullet"/>
      </w:pPr>
      <w:r>
        <w:rPr>
          <w:rFonts w:ascii="Arial" w:hAnsi="Arial"/>
          <w:sz w:val="22"/>
        </w:rPr>
        <w:t>Interactive — real-time exchange; the only mode that confirms understanding</w:t>
      </w:r>
    </w:p>
    <w:p>
      <w:pPr>
        <w:pStyle w:val="ListBullet"/>
      </w:pPr>
      <w:r>
        <w:rPr>
          <w:rFonts w:ascii="Arial" w:hAnsi="Arial"/>
          <w:sz w:val="22"/>
        </w:rPr>
        <w:t>Tailor the message to the stakeholder — this is an explicit ECO enabler</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15</w:t>
            </w:r>
          </w:p>
        </w:tc>
        <w:tc>
          <w:tcPr>
            <w:tcW w:type="dxa" w:w="1234"/>
          </w:tcPr>
          <w:p>
            <w:r/>
            <w:r>
              <w:rPr>
                <w:rFonts w:ascii="Arial" w:hAnsi="Arial"/>
                <w:b w:val="0"/>
                <w:color w:val="5B6372"/>
                <w:sz w:val="18"/>
              </w:rPr>
              <w:t>RACI Responsibility Assignment Matrix</w:t>
            </w:r>
          </w:p>
        </w:tc>
        <w:tc>
          <w:tcPr>
            <w:tcW w:type="dxa" w:w="1234"/>
          </w:tcPr>
          <w:p>
            <w:r/>
            <w:r>
              <w:rPr>
                <w:rFonts w:ascii="Arial" w:hAnsi="Arial"/>
                <w:b w:val="0"/>
                <w:color w:val="5B6372"/>
                <w:sz w:val="18"/>
              </w:rPr>
              <w:t>People T3, Process T4</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RACI matrix, Resource plan</w:t>
            </w:r>
          </w:p>
        </w:tc>
      </w:tr>
      <w:tr>
        <w:tc>
          <w:tcPr>
            <w:tcW w:type="dxa" w:w="1234"/>
            <w:shd w:val="clear" w:fill="E8F0FE"/>
          </w:tcPr>
          <w:p>
            <w:r/>
            <w:r>
              <w:rPr>
                <w:rFonts w:ascii="Arial" w:hAnsi="Arial"/>
                <w:b/>
                <w:color w:val="161B26"/>
                <w:sz w:val="18"/>
              </w:rPr>
              <w:t>16</w:t>
            </w:r>
          </w:p>
        </w:tc>
        <w:tc>
          <w:tcPr>
            <w:tcW w:type="dxa" w:w="1234"/>
          </w:tcPr>
          <w:p>
            <w:r/>
            <w:r>
              <w:rPr>
                <w:rFonts w:ascii="Arial" w:hAnsi="Arial"/>
                <w:b w:val="0"/>
                <w:color w:val="5B6372"/>
                <w:sz w:val="18"/>
              </w:rPr>
              <w:t>Tuckman Diagnosis and Motivation Theory Application</w:t>
            </w:r>
          </w:p>
        </w:tc>
        <w:tc>
          <w:tcPr>
            <w:tcW w:type="dxa" w:w="1234"/>
          </w:tcPr>
          <w:p>
            <w:r/>
            <w:r>
              <w:rPr>
                <w:rFonts w:ascii="Arial" w:hAnsi="Arial"/>
                <w:b w:val="0"/>
                <w:color w:val="5B6372"/>
                <w:sz w:val="18"/>
              </w:rPr>
              <w:t>People T3</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Team stage diagnosis, Motivation action plan</w:t>
            </w:r>
          </w:p>
        </w:tc>
      </w:tr>
      <w:tr>
        <w:tc>
          <w:tcPr>
            <w:tcW w:type="dxa" w:w="1234"/>
            <w:shd w:val="clear" w:fill="E8F0FE"/>
          </w:tcPr>
          <w:p>
            <w:r/>
            <w:r>
              <w:rPr>
                <w:rFonts w:ascii="Arial" w:hAnsi="Arial"/>
                <w:b/>
                <w:color w:val="161B26"/>
                <w:sz w:val="18"/>
              </w:rPr>
              <w:t>17</w:t>
            </w:r>
          </w:p>
        </w:tc>
        <w:tc>
          <w:tcPr>
            <w:tcW w:type="dxa" w:w="1234"/>
          </w:tcPr>
          <w:p>
            <w:r/>
            <w:r>
              <w:rPr>
                <w:rFonts w:ascii="Arial" w:hAnsi="Arial"/>
                <w:b w:val="0"/>
                <w:color w:val="5B6372"/>
                <w:sz w:val="18"/>
              </w:rPr>
              <w:t>Conflict Resolution Role-Play across the Five Modes</w:t>
            </w:r>
          </w:p>
        </w:tc>
        <w:tc>
          <w:tcPr>
            <w:tcW w:type="dxa" w:w="1234"/>
          </w:tcPr>
          <w:p>
            <w:r/>
            <w:r>
              <w:rPr>
                <w:rFonts w:ascii="Arial" w:hAnsi="Arial"/>
                <w:b w:val="0"/>
                <w:color w:val="5B6372"/>
                <w:sz w:val="18"/>
              </w:rPr>
              <w:t>People T2</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Conflict analysis, Resolution strategy</w:t>
            </w:r>
          </w:p>
        </w:tc>
      </w:tr>
      <w:tr>
        <w:tc>
          <w:tcPr>
            <w:tcW w:type="dxa" w:w="1234"/>
            <w:shd w:val="clear" w:fill="E8F0FE"/>
          </w:tcPr>
          <w:p>
            <w:r/>
            <w:r>
              <w:rPr>
                <w:rFonts w:ascii="Arial" w:hAnsi="Arial"/>
                <w:b/>
                <w:color w:val="161B26"/>
                <w:sz w:val="18"/>
              </w:rPr>
              <w:t>18</w:t>
            </w:r>
          </w:p>
        </w:tc>
        <w:tc>
          <w:tcPr>
            <w:tcW w:type="dxa" w:w="1234"/>
          </w:tcPr>
          <w:p>
            <w:r/>
            <w:r>
              <w:rPr>
                <w:rFonts w:ascii="Arial" w:hAnsi="Arial"/>
                <w:b w:val="0"/>
                <w:color w:val="5B6372"/>
                <w:sz w:val="18"/>
              </w:rPr>
              <w:t>Communication Plan, Channels Formula and Status Report</w:t>
            </w:r>
          </w:p>
        </w:tc>
        <w:tc>
          <w:tcPr>
            <w:tcW w:type="dxa" w:w="1234"/>
          </w:tcPr>
          <w:p>
            <w:r/>
            <w:r>
              <w:rPr>
                <w:rFonts w:ascii="Arial" w:hAnsi="Arial"/>
                <w:b w:val="0"/>
                <w:color w:val="5B6372"/>
                <w:sz w:val="18"/>
              </w:rPr>
              <w:t>People T8</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Communications management plan, Status report</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Describe the leadership action appropriate at each stage of Tuckman's model.</w:t>
      </w:r>
    </w:p>
    <w:p>
      <w:pPr>
        <w:pStyle w:val="ListNumber"/>
      </w:pPr>
      <w:r>
        <w:rPr>
          <w:rFonts w:ascii="Arial" w:hAnsi="Arial"/>
          <w:sz w:val="22"/>
        </w:rPr>
        <w:t>Explain why a pay rise may remove dissatisfaction without creating motivation, using Herzberg's theory.</w:t>
      </w:r>
    </w:p>
    <w:p>
      <w:pPr>
        <w:pStyle w:val="ListNumber"/>
      </w:pPr>
      <w:r>
        <w:rPr>
          <w:rFonts w:ascii="Arial" w:hAnsi="Arial"/>
          <w:sz w:val="22"/>
        </w:rPr>
        <w:t>A designer and a developer disagree on a screen layout. Which conflict mode would you use first, and why?</w:t>
      </w:r>
    </w:p>
    <w:p>
      <w:pPr>
        <w:pStyle w:val="ListNumber"/>
      </w:pPr>
      <w:r>
        <w:rPr>
          <w:rFonts w:ascii="Arial" w:hAnsi="Arial"/>
          <w:sz w:val="22"/>
        </w:rPr>
        <w:t>Calculate the number of communication channels for a team of 12, and state what the result implies for your communications plan.</w:t>
      </w:r>
    </w:p>
    <w:p>
      <w:pPr>
        <w:pStyle w:val="ListNumber"/>
      </w:pPr>
      <w:r>
        <w:rPr>
          <w:rFonts w:ascii="Arial" w:hAnsi="Arial"/>
          <w:sz w:val="22"/>
        </w:rPr>
        <w:t>Distinguish push, pull and interactive communication, and state which confirms understanding.</w:t>
      </w:r>
    </w:p>
    <w:p>
      <w:pPr>
        <w:pStyle w:val="ListNumber"/>
      </w:pPr>
      <w:r>
        <w:rPr>
          <w:rFonts w:ascii="Arial" w:hAnsi="Arial"/>
          <w:sz w:val="22"/>
        </w:rPr>
        <w:t>What does 'represent the voice of the team' require of a project manager in practice?</w:t>
      </w:r>
    </w:p>
    <w:p>
      <w:r>
        <w:br w:type="page"/>
      </w:r>
    </w:p>
    <w:p>
      <w:pPr>
        <w:pStyle w:val="Heading1"/>
      </w:pPr>
      <w:r>
        <w:t>Topic 5. Monitor and Control the Project</w:t>
      </w:r>
    </w:p>
    <w:p>
      <w:pPr>
        <w:spacing w:after="120"/>
      </w:pPr>
      <w:r>
        <w:rPr>
          <w:rFonts w:ascii="Arial" w:hAnsi="Arial"/>
          <w:b w:val="0"/>
          <w:color w:val="161B26"/>
          <w:sz w:val="22"/>
        </w:rPr>
        <w:t>Measuring truth against plan: earned value, quality control, change control, issues and impediments.</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T9</w:t>
            </w:r>
          </w:p>
        </w:tc>
        <w:tc>
          <w:tcPr>
            <w:tcW w:type="dxa" w:w="2880"/>
          </w:tcPr>
          <w:p>
            <w:r/>
            <w:r>
              <w:rPr>
                <w:rFonts w:ascii="Arial" w:hAnsi="Arial"/>
                <w:b w:val="0"/>
                <w:color w:val="5B6372"/>
                <w:sz w:val="18"/>
              </w:rPr>
              <w:t>Evaluate project status</w:t>
            </w:r>
          </w:p>
        </w:tc>
        <w:tc>
          <w:tcPr>
            <w:tcW w:type="dxa" w:w="2880"/>
          </w:tcPr>
          <w:p>
            <w:r/>
            <w:r>
              <w:rPr>
                <w:rFonts w:ascii="Arial" w:hAnsi="Arial"/>
                <w:b w:val="0"/>
                <w:color w:val="5B6372"/>
                <w:sz w:val="18"/>
              </w:rPr>
              <w:t>Develop project metrics, analysis, and reconciliation; Identify and tailor needed artifacts; Help ensure artifacts are created, reviewed, updated, and documented; Help ensure accessibility of artifacts; Assess current progress; Measure, analyze, and update project metrics; Communicate project status; Continually assess the effectiveness of artifact management</w:t>
            </w:r>
          </w:p>
        </w:tc>
      </w:tr>
      <w:tr>
        <w:tc>
          <w:tcPr>
            <w:tcW w:type="dxa" w:w="2880"/>
            <w:shd w:val="clear" w:fill="E8F0FE"/>
          </w:tcPr>
          <w:p>
            <w:r/>
            <w:r>
              <w:rPr>
                <w:rFonts w:ascii="Arial" w:hAnsi="Arial"/>
                <w:b/>
                <w:color w:val="161B26"/>
                <w:sz w:val="18"/>
              </w:rPr>
              <w:t>Business Environment T3</w:t>
            </w:r>
          </w:p>
        </w:tc>
        <w:tc>
          <w:tcPr>
            <w:tcW w:type="dxa" w:w="2880"/>
          </w:tcPr>
          <w:p>
            <w:r/>
            <w:r>
              <w:rPr>
                <w:rFonts w:ascii="Arial" w:hAnsi="Arial"/>
                <w:b w:val="0"/>
                <w:color w:val="5B6372"/>
                <w:sz w:val="18"/>
              </w:rPr>
              <w:t>Manage and control changes</w:t>
            </w:r>
          </w:p>
        </w:tc>
        <w:tc>
          <w:tcPr>
            <w:tcW w:type="dxa" w:w="2880"/>
          </w:tcPr>
          <w:p>
            <w:r/>
            <w:r>
              <w:rPr>
                <w:rFonts w:ascii="Arial" w:hAnsi="Arial"/>
                <w:b w:val="0"/>
                <w:color w:val="5B6372"/>
                <w:sz w:val="18"/>
              </w:rPr>
              <w:t>Execute the change control process; Communicate the status of proposed changes; Implement approved changes to the project; Update project documentation to reflect changes</w:t>
            </w:r>
          </w:p>
        </w:tc>
      </w:tr>
      <w:tr>
        <w:tc>
          <w:tcPr>
            <w:tcW w:type="dxa" w:w="2880"/>
            <w:shd w:val="clear" w:fill="E8F0FE"/>
          </w:tcPr>
          <w:p>
            <w:r/>
            <w:r>
              <w:rPr>
                <w:rFonts w:ascii="Arial" w:hAnsi="Arial"/>
                <w:b/>
                <w:color w:val="161B26"/>
                <w:sz w:val="18"/>
              </w:rPr>
              <w:t>Business Environment T4</w:t>
            </w:r>
          </w:p>
        </w:tc>
        <w:tc>
          <w:tcPr>
            <w:tcW w:type="dxa" w:w="2880"/>
          </w:tcPr>
          <w:p>
            <w:r/>
            <w:r>
              <w:rPr>
                <w:rFonts w:ascii="Arial" w:hAnsi="Arial"/>
                <w:b w:val="0"/>
                <w:color w:val="5B6372"/>
                <w:sz w:val="18"/>
              </w:rPr>
              <w:t>Remove impediments and manage issues</w:t>
            </w:r>
          </w:p>
        </w:tc>
        <w:tc>
          <w:tcPr>
            <w:tcW w:type="dxa" w:w="2880"/>
          </w:tcPr>
          <w:p>
            <w:r/>
            <w:r>
              <w:rPr>
                <w:rFonts w:ascii="Arial" w:hAnsi="Arial"/>
                <w:b w:val="0"/>
                <w:color w:val="5B6372"/>
                <w:sz w:val="18"/>
              </w:rPr>
              <w:t>Evaluate the impact of impediments; Prioritize and highlight impediments; Determine and apply an intervention strategy to remove/minimize impediments; Reassess continually to ensure blockers are being addressed; Recognize when a risk becomes an issue; Collaborate with relevant stakeholders on an approach to resolve issues</w:t>
            </w:r>
          </w:p>
        </w:tc>
      </w:tr>
      <w:tr>
        <w:tc>
          <w:tcPr>
            <w:tcW w:type="dxa" w:w="2880"/>
            <w:shd w:val="clear" w:fill="E8F0FE"/>
          </w:tcPr>
          <w:p>
            <w:r/>
            <w:r>
              <w:rPr>
                <w:rFonts w:ascii="Arial" w:hAnsi="Arial"/>
                <w:b/>
                <w:color w:val="161B26"/>
                <w:sz w:val="18"/>
              </w:rPr>
              <w:t>Business Environment T5</w:t>
            </w:r>
          </w:p>
        </w:tc>
        <w:tc>
          <w:tcPr>
            <w:tcW w:type="dxa" w:w="2880"/>
          </w:tcPr>
          <w:p>
            <w:r/>
            <w:r>
              <w:rPr>
                <w:rFonts w:ascii="Arial" w:hAnsi="Arial"/>
                <w:b w:val="0"/>
                <w:color w:val="5B6372"/>
                <w:sz w:val="18"/>
              </w:rPr>
              <w:t>Plan and manage risk</w:t>
            </w:r>
          </w:p>
        </w:tc>
        <w:tc>
          <w:tcPr>
            <w:tcW w:type="dxa" w:w="2880"/>
          </w:tcPr>
          <w:p>
            <w:r/>
            <w:r>
              <w:rPr>
                <w:rFonts w:ascii="Arial" w:hAnsi="Arial"/>
                <w:b w:val="0"/>
                <w:color w:val="5B6372"/>
                <w:sz w:val="18"/>
              </w:rPr>
              <w:t>Identify risks; Analyze risks; Monitor and control risks; Develop a risk management plan; Maintain a risk register (e.g., poor IT security); Execute a risk management plan (risk response for security and sustainability risks); Communicate the status of a risk impact on the project</w:t>
            </w:r>
          </w:p>
        </w:tc>
      </w:tr>
      <w:tr>
        <w:tc>
          <w:tcPr>
            <w:tcW w:type="dxa" w:w="2880"/>
            <w:shd w:val="clear" w:fill="E8F0FE"/>
          </w:tcPr>
          <w:p>
            <w:r/>
            <w:r>
              <w:rPr>
                <w:rFonts w:ascii="Arial" w:hAnsi="Arial"/>
                <w:b/>
                <w:color w:val="161B26"/>
                <w:sz w:val="18"/>
              </w:rPr>
              <w:t>Business Environment T6</w:t>
            </w:r>
          </w:p>
        </w:tc>
        <w:tc>
          <w:tcPr>
            <w:tcW w:type="dxa" w:w="2880"/>
          </w:tcPr>
          <w:p>
            <w:r/>
            <w:r>
              <w:rPr>
                <w:rFonts w:ascii="Arial" w:hAnsi="Arial"/>
                <w:b w:val="0"/>
                <w:color w:val="5B6372"/>
                <w:sz w:val="18"/>
              </w:rPr>
              <w:t>Continuous improvement</w:t>
            </w:r>
          </w:p>
        </w:tc>
        <w:tc>
          <w:tcPr>
            <w:tcW w:type="dxa" w:w="2880"/>
          </w:tcPr>
          <w:p>
            <w:r/>
            <w:r>
              <w:rPr>
                <w:rFonts w:ascii="Arial" w:hAnsi="Arial"/>
                <w:b w:val="0"/>
                <w:color w:val="5B6372"/>
                <w:sz w:val="18"/>
              </w:rPr>
              <w:t>Utilize lessons learned; Help ensure continuous improvement processes are updated; Update organizational process assets (OPAs)</w:t>
            </w:r>
          </w:p>
        </w:tc>
      </w:tr>
      <w:tr>
        <w:tc>
          <w:tcPr>
            <w:tcW w:type="dxa" w:w="2880"/>
            <w:shd w:val="clear" w:fill="E8F0FE"/>
          </w:tcPr>
          <w:p>
            <w:r/>
            <w:r>
              <w:rPr>
                <w:rFonts w:ascii="Arial" w:hAnsi="Arial"/>
                <w:b/>
                <w:color w:val="161B26"/>
                <w:sz w:val="18"/>
              </w:rPr>
              <w:t>Process T7</w:t>
            </w:r>
          </w:p>
        </w:tc>
        <w:tc>
          <w:tcPr>
            <w:tcW w:type="dxa" w:w="2880"/>
          </w:tcPr>
          <w:p>
            <w:r/>
            <w:r>
              <w:rPr>
                <w:rFonts w:ascii="Arial" w:hAnsi="Arial"/>
                <w:b w:val="0"/>
                <w:color w:val="5B6372"/>
                <w:sz w:val="18"/>
              </w:rPr>
              <w:t>Plan and optimize quality of products/deliverables</w:t>
            </w:r>
          </w:p>
        </w:tc>
        <w:tc>
          <w:tcPr>
            <w:tcW w:type="dxa" w:w="2880"/>
          </w:tcPr>
          <w:p>
            <w:r/>
            <w:r>
              <w:rPr>
                <w:rFonts w:ascii="Arial" w:hAnsi="Arial"/>
                <w:b w:val="0"/>
                <w:color w:val="5B6372"/>
                <w:sz w:val="18"/>
              </w:rPr>
              <w:t>Gather quality requirements for project deliverables; Plan quality processes and tools; Execute a quality management plan; Help ensure regulatory compliance; Manage cost of quality (CoQ) and sustainability; Conduct ongoing quality reviews; Implement continuous improvement</w:t>
            </w:r>
          </w:p>
        </w:tc>
      </w:tr>
    </w:tbl>
    <w:p>
      <w:pPr>
        <w:pStyle w:val="Heading2"/>
      </w:pPr>
      <w:r>
        <w:t>What This Topic Covers</w:t>
      </w:r>
    </w:p>
    <w:p>
      <w:pPr>
        <w:pStyle w:val="ListBullet"/>
      </w:pPr>
      <w:r>
        <w:rPr>
          <w:rFonts w:ascii="Arial" w:hAnsi="Arial"/>
          <w:sz w:val="22"/>
        </w:rPr>
        <w:t>Monitor and control project work</w:t>
      </w:r>
    </w:p>
    <w:p>
      <w:pPr>
        <w:pStyle w:val="ListBullet"/>
      </w:pPr>
      <w:r>
        <w:rPr>
          <w:rFonts w:ascii="Arial" w:hAnsi="Arial"/>
          <w:sz w:val="22"/>
        </w:rPr>
        <w:t>Evaluate project progress and earned value</w:t>
      </w:r>
    </w:p>
    <w:p>
      <w:pPr>
        <w:pStyle w:val="ListBullet"/>
      </w:pPr>
      <w:r>
        <w:rPr>
          <w:rFonts w:ascii="Arial" w:hAnsi="Arial"/>
          <w:sz w:val="22"/>
        </w:rPr>
        <w:t>Control quality with statistical tools</w:t>
      </w:r>
    </w:p>
    <w:p>
      <w:pPr>
        <w:pStyle w:val="ListBullet"/>
      </w:pPr>
      <w:r>
        <w:rPr>
          <w:rFonts w:ascii="Arial" w:hAnsi="Arial"/>
          <w:sz w:val="22"/>
        </w:rPr>
        <w:t>Manage changes and integrated change control</w:t>
      </w:r>
    </w:p>
    <w:p>
      <w:pPr>
        <w:pStyle w:val="ListBullet"/>
      </w:pPr>
      <w:r>
        <w:rPr>
          <w:rFonts w:ascii="Arial" w:hAnsi="Arial"/>
          <w:sz w:val="22"/>
        </w:rPr>
        <w:t>Manage issues, impediments and risk</w:t>
      </w:r>
    </w:p>
    <w:p>
      <w:pPr>
        <w:pStyle w:val="ListBullet"/>
      </w:pPr>
      <w:r>
        <w:rPr>
          <w:rFonts w:ascii="Arial" w:hAnsi="Arial"/>
          <w:sz w:val="22"/>
        </w:rPr>
        <w:t>Implement ongoing improvements</w:t>
      </w:r>
    </w:p>
    <w:p>
      <w:pPr>
        <w:pStyle w:val="Heading2"/>
      </w:pPr>
      <w:r>
        <w:t>Earned value management</w:t>
      </w:r>
    </w:p>
    <w:p>
      <w:pPr>
        <w:spacing w:after="120"/>
      </w:pPr>
      <w:r>
        <w:rPr>
          <w:rFonts w:ascii="Arial" w:hAnsi="Arial"/>
          <w:b w:val="0"/>
          <w:color w:val="161B26"/>
          <w:sz w:val="22"/>
        </w:rPr>
        <w:t>EVM integrates scope, schedule and cost into a single set of measures, and it is the most calculation-heavy topic on the exam. Three inputs drive everything: planned value (what you said you would have done by now), earned value (what you have actually completed, valued at budget) and actual cost (what you spent doing it). Everything else derives from those three.</w:t>
      </w:r>
    </w:p>
    <w:p>
      <w:pPr>
        <w:pStyle w:val="ListBullet"/>
      </w:pPr>
      <w:r>
        <w:rPr>
          <w:rFonts w:ascii="Arial" w:hAnsi="Arial"/>
          <w:sz w:val="22"/>
        </w:rPr>
        <w:t>CV = EV − AC   ·   SV = EV − PV   (positive is good in both cases)</w:t>
      </w:r>
    </w:p>
    <w:p>
      <w:pPr>
        <w:pStyle w:val="ListBullet"/>
      </w:pPr>
      <w:r>
        <w:rPr>
          <w:rFonts w:ascii="Arial" w:hAnsi="Arial"/>
          <w:sz w:val="22"/>
        </w:rPr>
        <w:t>CPI = EV / AC   ·   SPI = EV / PV   (above 1.0 is good in both cases)</w:t>
      </w:r>
    </w:p>
    <w:p>
      <w:pPr>
        <w:pStyle w:val="ListBullet"/>
      </w:pPr>
      <w:r>
        <w:rPr>
          <w:rFonts w:ascii="Arial" w:hAnsi="Arial"/>
          <w:sz w:val="22"/>
        </w:rPr>
        <w:t>EAC = BAC / CPI when current variances are expected to continue</w:t>
      </w:r>
    </w:p>
    <w:p>
      <w:pPr>
        <w:pStyle w:val="ListBullet"/>
      </w:pPr>
      <w:r>
        <w:rPr>
          <w:rFonts w:ascii="Arial" w:hAnsi="Arial"/>
          <w:sz w:val="22"/>
        </w:rPr>
        <w:t>ETC = EAC − AC   ·   VAC = BAC − EAC</w:t>
      </w:r>
    </w:p>
    <w:p>
      <w:pPr>
        <w:pStyle w:val="ListBullet"/>
      </w:pPr>
      <w:r>
        <w:rPr>
          <w:rFonts w:ascii="Arial" w:hAnsi="Arial"/>
          <w:sz w:val="22"/>
        </w:rPr>
        <w:t>TCPI = (BAC − EV) / (BAC − AC) — the performance needed to finish on budget</w:t>
      </w:r>
    </w:p>
    <w:p>
      <w:pPr>
        <w:pStyle w:val="Heading2"/>
      </w:pPr>
      <w:r>
        <w:t>Integrated change control</w:t>
      </w:r>
    </w:p>
    <w:p>
      <w:pPr>
        <w:spacing w:after="120"/>
      </w:pPr>
      <w:r>
        <w:rPr>
          <w:rFonts w:ascii="Arial" w:hAnsi="Arial"/>
          <w:b w:val="0"/>
          <w:color w:val="161B26"/>
          <w:sz w:val="22"/>
        </w:rPr>
        <w:t>Every change request follows the same path regardless of who raised it: record it, assess its impact across scope, schedule, cost, quality and risk, take it to the change control board for a decision, then either implement and update the baselines and documents, or record the rejection. The exam's most common trap is the option that implements a change without assessing impact or obtaining approval — it is always wrong.</w:t>
      </w:r>
    </w:p>
    <w:p>
      <w:pPr>
        <w:pStyle w:val="ListBullet"/>
      </w:pPr>
      <w:r>
        <w:rPr>
          <w:rFonts w:ascii="Arial" w:hAnsi="Arial"/>
          <w:sz w:val="22"/>
        </w:rPr>
        <w:t>Never implement an unapproved change, however senior the requester</w:t>
      </w:r>
    </w:p>
    <w:p>
      <w:pPr>
        <w:pStyle w:val="ListBullet"/>
      </w:pPr>
      <w:r>
        <w:rPr>
          <w:rFonts w:ascii="Arial" w:hAnsi="Arial"/>
          <w:sz w:val="22"/>
        </w:rPr>
        <w:t>Assess impact across ALL constraints before recommending a decision</w:t>
      </w:r>
    </w:p>
    <w:p>
      <w:pPr>
        <w:pStyle w:val="ListBullet"/>
      </w:pPr>
      <w:r>
        <w:rPr>
          <w:rFonts w:ascii="Arial" w:hAnsi="Arial"/>
          <w:sz w:val="22"/>
        </w:rPr>
        <w:t>Corrective action realigns performance with the plan</w:t>
      </w:r>
    </w:p>
    <w:p>
      <w:pPr>
        <w:pStyle w:val="ListBullet"/>
      </w:pPr>
      <w:r>
        <w:rPr>
          <w:rFonts w:ascii="Arial" w:hAnsi="Arial"/>
          <w:sz w:val="22"/>
        </w:rPr>
        <w:t>Preventive action reduces the probability of future variance</w:t>
      </w:r>
    </w:p>
    <w:p>
      <w:pPr>
        <w:pStyle w:val="ListBullet"/>
      </w:pPr>
      <w:r>
        <w:rPr>
          <w:rFonts w:ascii="Arial" w:hAnsi="Arial"/>
          <w:sz w:val="22"/>
        </w:rPr>
        <w:t>Update the baselines and affected documents after approval</w:t>
      </w:r>
    </w:p>
    <w:p>
      <w:pPr>
        <w:pStyle w:val="Heading2"/>
      </w:pPr>
      <w:r>
        <w:t>Controlling quality with statistical tools</w:t>
      </w:r>
    </w:p>
    <w:p>
      <w:pPr>
        <w:spacing w:after="120"/>
      </w:pPr>
      <w:r>
        <w:rPr>
          <w:rFonts w:ascii="Arial" w:hAnsi="Arial"/>
          <w:b w:val="0"/>
          <w:color w:val="161B26"/>
          <w:sz w:val="22"/>
        </w:rPr>
        <w:t>Control charts distinguish variation that is inherent in the process (common cause) from variation that signals something has changed (assignable cause). A point outside the control limits is out of control. So is the rule of seven: seven consecutive points on one side of the mean indicates a non-random pattern even when every point sits inside the limits.</w:t>
      </w:r>
    </w:p>
    <w:p>
      <w:pPr>
        <w:pStyle w:val="ListBullet"/>
      </w:pPr>
      <w:r>
        <w:rPr>
          <w:rFonts w:ascii="Arial" w:hAnsi="Arial"/>
          <w:sz w:val="22"/>
        </w:rPr>
        <w:t>Control limits (UCL/LCL) are calculated from the process, usually ±3σ</w:t>
      </w:r>
    </w:p>
    <w:p>
      <w:pPr>
        <w:pStyle w:val="ListBullet"/>
      </w:pPr>
      <w:r>
        <w:rPr>
          <w:rFonts w:ascii="Arial" w:hAnsi="Arial"/>
          <w:sz w:val="22"/>
        </w:rPr>
        <w:t>Specification limits come from the customer and are a different thing</w:t>
      </w:r>
    </w:p>
    <w:p>
      <w:pPr>
        <w:pStyle w:val="ListBullet"/>
      </w:pPr>
      <w:r>
        <w:rPr>
          <w:rFonts w:ascii="Arial" w:hAnsi="Arial"/>
          <w:sz w:val="22"/>
        </w:rPr>
        <w:t>Rule of seven — seven consecutive points on one side signals assignable cause</w:t>
      </w:r>
    </w:p>
    <w:p>
      <w:pPr>
        <w:pStyle w:val="ListBullet"/>
      </w:pPr>
      <w:r>
        <w:rPr>
          <w:rFonts w:ascii="Arial" w:hAnsi="Arial"/>
          <w:sz w:val="22"/>
        </w:rPr>
        <w:t>Pareto — the 80/20 rule; fix the vital few categories first</w:t>
      </w:r>
    </w:p>
    <w:p>
      <w:pPr>
        <w:pStyle w:val="ListBullet"/>
      </w:pPr>
      <w:r>
        <w:rPr>
          <w:rFonts w:ascii="Arial" w:hAnsi="Arial"/>
          <w:sz w:val="22"/>
        </w:rPr>
        <w:t>In control does not mean acceptable; it means predictable</w:t>
      </w:r>
    </w:p>
    <w:p>
      <w:pPr>
        <w:pStyle w:val="Heading2"/>
      </w:pPr>
      <w:r>
        <w:t>Issues, impediments and risk that has arrived</w:t>
      </w:r>
    </w:p>
    <w:p>
      <w:pPr>
        <w:spacing w:after="120"/>
      </w:pPr>
      <w:r>
        <w:rPr>
          <w:rFonts w:ascii="Arial" w:hAnsi="Arial"/>
          <w:b w:val="0"/>
          <w:color w:val="161B26"/>
          <w:sz w:val="22"/>
        </w:rPr>
        <w:t>The 2026 outline gives impediment removal its own task. The distinction matters: a risk is uncertain and future; when it occurs it becomes an issue and moves from the risk register to the issue log. Impediments and blockers are anything stopping the team from progressing, and clearing them is explicitly the project manager's job.</w:t>
      </w:r>
    </w:p>
    <w:p>
      <w:pPr>
        <w:pStyle w:val="ListBullet"/>
      </w:pPr>
      <w:r>
        <w:rPr>
          <w:rFonts w:ascii="Arial" w:hAnsi="Arial"/>
          <w:sz w:val="22"/>
        </w:rPr>
        <w:t>Recognise the moment a risk becomes an issue and re-classify it</w:t>
      </w:r>
    </w:p>
    <w:p>
      <w:pPr>
        <w:pStyle w:val="ListBullet"/>
      </w:pPr>
      <w:r>
        <w:rPr>
          <w:rFonts w:ascii="Arial" w:hAnsi="Arial"/>
          <w:sz w:val="22"/>
        </w:rPr>
        <w:t>Evaluate impact, then prioritise — not every impediment is urgent</w:t>
      </w:r>
    </w:p>
    <w:p>
      <w:pPr>
        <w:pStyle w:val="ListBullet"/>
      </w:pPr>
      <w:r>
        <w:rPr>
          <w:rFonts w:ascii="Arial" w:hAnsi="Arial"/>
          <w:sz w:val="22"/>
        </w:rPr>
        <w:t>Apply an intervention strategy, then reassess that it actually worked</w:t>
      </w:r>
    </w:p>
    <w:p>
      <w:pPr>
        <w:pStyle w:val="ListBullet"/>
      </w:pPr>
      <w:r>
        <w:rPr>
          <w:rFonts w:ascii="Arial" w:hAnsi="Arial"/>
          <w:sz w:val="22"/>
        </w:rPr>
        <w:t>Escalate beyond your threshold rather than absorbing the impact silently</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19</w:t>
            </w:r>
          </w:p>
        </w:tc>
        <w:tc>
          <w:tcPr>
            <w:tcW w:type="dxa" w:w="1234"/>
          </w:tcPr>
          <w:p>
            <w:r/>
            <w:r>
              <w:rPr>
                <w:rFonts w:ascii="Arial" w:hAnsi="Arial"/>
                <w:b w:val="0"/>
                <w:color w:val="5B6372"/>
                <w:sz w:val="18"/>
              </w:rPr>
              <w:t>Kanban Board with WIP Limits and Lead/Cycle Time</w:t>
            </w:r>
          </w:p>
        </w:tc>
        <w:tc>
          <w:tcPr>
            <w:tcW w:type="dxa" w:w="1234"/>
          </w:tcPr>
          <w:p>
            <w:r/>
            <w:r>
              <w:rPr>
                <w:rFonts w:ascii="Arial" w:hAnsi="Arial"/>
                <w:b w:val="0"/>
                <w:color w:val="5B6372"/>
                <w:sz w:val="18"/>
              </w:rPr>
              <w:t>Process T9</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Kanban board, Cycle time measurements</w:t>
            </w:r>
          </w:p>
        </w:tc>
      </w:tr>
      <w:tr>
        <w:tc>
          <w:tcPr>
            <w:tcW w:type="dxa" w:w="1234"/>
            <w:shd w:val="clear" w:fill="E8F0FE"/>
          </w:tcPr>
          <w:p>
            <w:r/>
            <w:r>
              <w:rPr>
                <w:rFonts w:ascii="Arial" w:hAnsi="Arial"/>
                <w:b/>
                <w:color w:val="161B26"/>
                <w:sz w:val="18"/>
              </w:rPr>
              <w:t>20</w:t>
            </w:r>
          </w:p>
        </w:tc>
        <w:tc>
          <w:tcPr>
            <w:tcW w:type="dxa" w:w="1234"/>
          </w:tcPr>
          <w:p>
            <w:r/>
            <w:r>
              <w:rPr>
                <w:rFonts w:ascii="Arial" w:hAnsi="Arial"/>
                <w:b w:val="0"/>
                <w:color w:val="5B6372"/>
                <w:sz w:val="18"/>
              </w:rPr>
              <w:t>Earned Value Management and Schedule Compression</w:t>
            </w:r>
          </w:p>
        </w:tc>
        <w:tc>
          <w:tcPr>
            <w:tcW w:type="dxa" w:w="1234"/>
          </w:tcPr>
          <w:p>
            <w:r/>
            <w:r>
              <w:rPr>
                <w:rFonts w:ascii="Arial" w:hAnsi="Arial"/>
                <w:b w:val="0"/>
                <w:color w:val="5B6372"/>
                <w:sz w:val="18"/>
              </w:rPr>
              <w:t>Process T9</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EVM calculation sheet, Forecast (EAC/ETC), Compression decision</w:t>
            </w:r>
          </w:p>
        </w:tc>
      </w:tr>
      <w:tr>
        <w:tc>
          <w:tcPr>
            <w:tcW w:type="dxa" w:w="1234"/>
            <w:shd w:val="clear" w:fill="E8F0FE"/>
          </w:tcPr>
          <w:p>
            <w:r/>
            <w:r>
              <w:rPr>
                <w:rFonts w:ascii="Arial" w:hAnsi="Arial"/>
                <w:b/>
                <w:color w:val="161B26"/>
                <w:sz w:val="18"/>
              </w:rPr>
              <w:t>21</w:t>
            </w:r>
          </w:p>
        </w:tc>
        <w:tc>
          <w:tcPr>
            <w:tcW w:type="dxa" w:w="1234"/>
          </w:tcPr>
          <w:p>
            <w:r/>
            <w:r>
              <w:rPr>
                <w:rFonts w:ascii="Arial" w:hAnsi="Arial"/>
                <w:b w:val="0"/>
                <w:color w:val="5B6372"/>
                <w:sz w:val="18"/>
              </w:rPr>
              <w:t>Root Cause Analysis with 5 Whys, Fishbone and Pareto</w:t>
            </w:r>
          </w:p>
        </w:tc>
        <w:tc>
          <w:tcPr>
            <w:tcW w:type="dxa" w:w="1234"/>
          </w:tcPr>
          <w:p>
            <w:r/>
            <w:r>
              <w:rPr>
                <w:rFonts w:ascii="Arial" w:hAnsi="Arial"/>
                <w:b w:val="0"/>
                <w:color w:val="5B6372"/>
                <w:sz w:val="18"/>
              </w:rPr>
              <w:t>BE T4</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5 Whys chain, Fishbone diagram, Pareto chart</w:t>
            </w:r>
          </w:p>
        </w:tc>
      </w:tr>
      <w:tr>
        <w:tc>
          <w:tcPr>
            <w:tcW w:type="dxa" w:w="1234"/>
            <w:shd w:val="clear" w:fill="E8F0FE"/>
          </w:tcPr>
          <w:p>
            <w:r/>
            <w:r>
              <w:rPr>
                <w:rFonts w:ascii="Arial" w:hAnsi="Arial"/>
                <w:b/>
                <w:color w:val="161B26"/>
                <w:sz w:val="18"/>
              </w:rPr>
              <w:t>22</w:t>
            </w:r>
          </w:p>
        </w:tc>
        <w:tc>
          <w:tcPr>
            <w:tcW w:type="dxa" w:w="1234"/>
          </w:tcPr>
          <w:p>
            <w:r/>
            <w:r>
              <w:rPr>
                <w:rFonts w:ascii="Arial" w:hAnsi="Arial"/>
                <w:b w:val="0"/>
                <w:color w:val="5B6372"/>
                <w:sz w:val="18"/>
              </w:rPr>
              <w:t>SPC Control Chart and Statistical Process Analysis</w:t>
            </w:r>
          </w:p>
        </w:tc>
        <w:tc>
          <w:tcPr>
            <w:tcW w:type="dxa" w:w="1234"/>
          </w:tcPr>
          <w:p>
            <w:r/>
            <w:r>
              <w:rPr>
                <w:rFonts w:ascii="Arial" w:hAnsi="Arial"/>
                <w:b w:val="0"/>
                <w:color w:val="5B6372"/>
                <w:sz w:val="18"/>
              </w:rPr>
              <w:t>Process T7</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Control chart, Stability verdict, Capability summary</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A project has BAC $500,000. At week 10: PV $200,000, EV $180,000, AC $210,000. Calculate CV, SV, CPI, SPI and EAC, and state the project's health in one sentence.</w:t>
      </w:r>
    </w:p>
    <w:p>
      <w:pPr>
        <w:pStyle w:val="ListNumber"/>
      </w:pPr>
      <w:r>
        <w:rPr>
          <w:rFonts w:ascii="Arial" w:hAnsi="Arial"/>
          <w:sz w:val="22"/>
        </w:rPr>
        <w:t>A senior stakeholder instructs you to implement a change immediately. State your correct sequence of actions.</w:t>
      </w:r>
    </w:p>
    <w:p>
      <w:pPr>
        <w:pStyle w:val="ListNumber"/>
      </w:pPr>
      <w:r>
        <w:rPr>
          <w:rFonts w:ascii="Arial" w:hAnsi="Arial"/>
          <w:sz w:val="22"/>
        </w:rPr>
        <w:t>Distinguish common cause from assignable cause variation, and explain the rule of seven.</w:t>
      </w:r>
    </w:p>
    <w:p>
      <w:pPr>
        <w:pStyle w:val="ListNumber"/>
      </w:pPr>
      <w:r>
        <w:rPr>
          <w:rFonts w:ascii="Arial" w:hAnsi="Arial"/>
          <w:sz w:val="22"/>
        </w:rPr>
        <w:t>When does a risk become an issue, and what changes in your documentation at that moment?</w:t>
      </w:r>
    </w:p>
    <w:p>
      <w:pPr>
        <w:pStyle w:val="ListNumber"/>
      </w:pPr>
      <w:r>
        <w:rPr>
          <w:rFonts w:ascii="Arial" w:hAnsi="Arial"/>
          <w:sz w:val="22"/>
        </w:rPr>
        <w:t>Compare crashing with fast tracking, including the cost and risk consequences of each.</w:t>
      </w:r>
    </w:p>
    <w:p>
      <w:pPr>
        <w:pStyle w:val="ListNumber"/>
      </w:pPr>
      <w:r>
        <w:rPr>
          <w:rFonts w:ascii="Arial" w:hAnsi="Arial"/>
          <w:sz w:val="22"/>
        </w:rPr>
        <w:t>Explain how a Pareto chart directs your quality improvement effort.</w:t>
      </w:r>
    </w:p>
    <w:p>
      <w:r>
        <w:br w:type="page"/>
      </w:r>
    </w:p>
    <w:p>
      <w:pPr>
        <w:pStyle w:val="Heading1"/>
      </w:pPr>
      <w:r>
        <w:t>Topic 6. Close the Project</w:t>
      </w:r>
    </w:p>
    <w:p>
      <w:pPr>
        <w:spacing w:after="120"/>
      </w:pPr>
      <w:r>
        <w:rPr>
          <w:rFonts w:ascii="Arial" w:hAnsi="Arial"/>
          <w:b w:val="0"/>
          <w:color w:val="161B26"/>
          <w:sz w:val="22"/>
        </w:rPr>
        <w:t>Landing the project: acceptance, transition, benefits realisation and the knowledge that outlives the team.</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T10</w:t>
            </w:r>
          </w:p>
        </w:tc>
        <w:tc>
          <w:tcPr>
            <w:tcW w:type="dxa" w:w="2880"/>
          </w:tcPr>
          <w:p>
            <w:r/>
            <w:r>
              <w:rPr>
                <w:rFonts w:ascii="Arial" w:hAnsi="Arial"/>
                <w:b w:val="0"/>
                <w:color w:val="5B6372"/>
                <w:sz w:val="18"/>
              </w:rPr>
              <w:t>Manage project closure</w:t>
            </w:r>
          </w:p>
        </w:tc>
        <w:tc>
          <w:tcPr>
            <w:tcW w:type="dxa" w:w="2880"/>
          </w:tcPr>
          <w:p>
            <w:r/>
            <w:r>
              <w:rPr>
                <w:rFonts w:ascii="Arial" w:hAnsi="Arial"/>
                <w:b w:val="0"/>
                <w:color w:val="5B6372"/>
                <w:sz w:val="18"/>
              </w:rPr>
              <w:t>Obtain project stakeholder approval of project completion; Determine criteria to successfully close the project or phase; Validate readiness for transition (e.g., to operations or next phase); Conclude closure activities (lessons learned, retrospectives, procurement, financials, resources)</w:t>
            </w:r>
          </w:p>
        </w:tc>
      </w:tr>
      <w:tr>
        <w:tc>
          <w:tcPr>
            <w:tcW w:type="dxa" w:w="2880"/>
            <w:shd w:val="clear" w:fill="E8F0FE"/>
          </w:tcPr>
          <w:p>
            <w:r/>
            <w:r>
              <w:rPr>
                <w:rFonts w:ascii="Arial" w:hAnsi="Arial"/>
                <w:b/>
                <w:color w:val="161B26"/>
                <w:sz w:val="18"/>
              </w:rPr>
              <w:t>Business Environment T6</w:t>
            </w:r>
          </w:p>
        </w:tc>
        <w:tc>
          <w:tcPr>
            <w:tcW w:type="dxa" w:w="2880"/>
          </w:tcPr>
          <w:p>
            <w:r/>
            <w:r>
              <w:rPr>
                <w:rFonts w:ascii="Arial" w:hAnsi="Arial"/>
                <w:b w:val="0"/>
                <w:color w:val="5B6372"/>
                <w:sz w:val="18"/>
              </w:rPr>
              <w:t>Continuous improvement</w:t>
            </w:r>
          </w:p>
        </w:tc>
        <w:tc>
          <w:tcPr>
            <w:tcW w:type="dxa" w:w="2880"/>
          </w:tcPr>
          <w:p>
            <w:r/>
            <w:r>
              <w:rPr>
                <w:rFonts w:ascii="Arial" w:hAnsi="Arial"/>
                <w:b w:val="0"/>
                <w:color w:val="5B6372"/>
                <w:sz w:val="18"/>
              </w:rPr>
              <w:t>Utilize lessons learned; Help ensure continuous improvement processes are updated; Update organizational process assets (OPAs)</w:t>
            </w:r>
          </w:p>
        </w:tc>
      </w:tr>
      <w:tr>
        <w:tc>
          <w:tcPr>
            <w:tcW w:type="dxa" w:w="2880"/>
            <w:shd w:val="clear" w:fill="E8F0FE"/>
          </w:tcPr>
          <w:p>
            <w:r/>
            <w:r>
              <w:rPr>
                <w:rFonts w:ascii="Arial" w:hAnsi="Arial"/>
                <w:b/>
                <w:color w:val="161B26"/>
                <w:sz w:val="18"/>
              </w:rPr>
              <w:t>People T7</w:t>
            </w:r>
          </w:p>
        </w:tc>
        <w:tc>
          <w:tcPr>
            <w:tcW w:type="dxa" w:w="2880"/>
          </w:tcPr>
          <w:p>
            <w:r/>
            <w:r>
              <w:rPr>
                <w:rFonts w:ascii="Arial" w:hAnsi="Arial"/>
                <w:b w:val="0"/>
                <w:color w:val="5B6372"/>
                <w:sz w:val="18"/>
              </w:rPr>
              <w:t>Help ensure knowledge transfer</w:t>
            </w:r>
          </w:p>
        </w:tc>
        <w:tc>
          <w:tcPr>
            <w:tcW w:type="dxa" w:w="2880"/>
          </w:tcPr>
          <w:p>
            <w:r/>
            <w:r>
              <w:rPr>
                <w:rFonts w:ascii="Arial" w:hAnsi="Arial"/>
                <w:b w:val="0"/>
                <w:color w:val="5B6372"/>
                <w:sz w:val="18"/>
              </w:rPr>
              <w:t>Identify knowledge critical to the project; Gather knowledge; Foster an environment for knowledge transfer</w:t>
            </w:r>
          </w:p>
        </w:tc>
      </w:tr>
    </w:tbl>
    <w:p>
      <w:pPr>
        <w:pStyle w:val="Heading2"/>
      </w:pPr>
      <w:r>
        <w:t>What This Topic Covers</w:t>
      </w:r>
    </w:p>
    <w:p>
      <w:pPr>
        <w:pStyle w:val="ListBullet"/>
      </w:pPr>
      <w:r>
        <w:rPr>
          <w:rFonts w:ascii="Arial" w:hAnsi="Arial"/>
          <w:sz w:val="22"/>
        </w:rPr>
        <w:t>Project and phase closure</w:t>
      </w:r>
    </w:p>
    <w:p>
      <w:pPr>
        <w:pStyle w:val="ListBullet"/>
      </w:pPr>
      <w:r>
        <w:rPr>
          <w:rFonts w:ascii="Arial" w:hAnsi="Arial"/>
          <w:sz w:val="22"/>
        </w:rPr>
        <w:t>Benefits realisation and value confirmation</w:t>
      </w:r>
    </w:p>
    <w:p>
      <w:pPr>
        <w:pStyle w:val="ListBullet"/>
      </w:pPr>
      <w:r>
        <w:rPr>
          <w:rFonts w:ascii="Arial" w:hAnsi="Arial"/>
          <w:sz w:val="22"/>
        </w:rPr>
        <w:t>Knowledge transfer and lessons learned</w:t>
      </w:r>
    </w:p>
    <w:p>
      <w:pPr>
        <w:pStyle w:val="ListBullet"/>
      </w:pPr>
      <w:r>
        <w:rPr>
          <w:rFonts w:ascii="Arial" w:hAnsi="Arial"/>
          <w:sz w:val="22"/>
        </w:rPr>
        <w:t>PMP exam strategy and readiness</w:t>
      </w:r>
    </w:p>
    <w:p>
      <w:pPr>
        <w:pStyle w:val="Heading2"/>
      </w:pPr>
      <w:r>
        <w:t>Closing the project or phase</w:t>
      </w:r>
    </w:p>
    <w:p>
      <w:pPr>
        <w:spacing w:after="120"/>
      </w:pPr>
      <w:r>
        <w:rPr>
          <w:rFonts w:ascii="Arial" w:hAnsi="Arial"/>
          <w:b w:val="0"/>
          <w:color w:val="161B26"/>
          <w:sz w:val="22"/>
        </w:rPr>
        <w:t>Closure is a formal process, not simply stopping work. Deliverables are accepted against the acceptance criteria agreed at the start; the product is transitioned to the receiving organisation with the knowledge needed to run it; procurements are closed and contracts archived; resources are released; and lessons learned are transferred into the organisational repository so the next project inherits them. Projects terminated early are closed through exactly the same process.</w:t>
      </w:r>
    </w:p>
    <w:p>
      <w:pPr>
        <w:pStyle w:val="ListBullet"/>
      </w:pPr>
      <w:r>
        <w:rPr>
          <w:rFonts w:ascii="Arial" w:hAnsi="Arial"/>
          <w:sz w:val="22"/>
        </w:rPr>
        <w:t>Obtain formal stakeholder approval of completion — not informal agreement</w:t>
      </w:r>
    </w:p>
    <w:p>
      <w:pPr>
        <w:pStyle w:val="ListBullet"/>
      </w:pPr>
      <w:r>
        <w:rPr>
          <w:rFonts w:ascii="Arial" w:hAnsi="Arial"/>
          <w:sz w:val="22"/>
        </w:rPr>
        <w:t>Validate readiness for transition before handing over</w:t>
      </w:r>
    </w:p>
    <w:p>
      <w:pPr>
        <w:pStyle w:val="ListBullet"/>
      </w:pPr>
      <w:r>
        <w:rPr>
          <w:rFonts w:ascii="Arial" w:hAnsi="Arial"/>
          <w:sz w:val="22"/>
        </w:rPr>
        <w:t>Archive contracts, financial records and project documentation</w:t>
      </w:r>
    </w:p>
    <w:p>
      <w:pPr>
        <w:pStyle w:val="ListBullet"/>
      </w:pPr>
      <w:r>
        <w:rPr>
          <w:rFonts w:ascii="Arial" w:hAnsi="Arial"/>
          <w:sz w:val="22"/>
        </w:rPr>
        <w:t>Release resources deliberately, with recognition</w:t>
      </w:r>
    </w:p>
    <w:p>
      <w:pPr>
        <w:pStyle w:val="ListBullet"/>
      </w:pPr>
      <w:r>
        <w:rPr>
          <w:rFonts w:ascii="Arial" w:hAnsi="Arial"/>
          <w:sz w:val="22"/>
        </w:rPr>
        <w:t>Update OPAs so the organisation learns; this is the durable output</w:t>
      </w:r>
    </w:p>
    <w:p>
      <w:pPr>
        <w:pStyle w:val="Heading2"/>
      </w:pPr>
      <w:r>
        <w:t>Benefits realisation</w:t>
      </w:r>
    </w:p>
    <w:p>
      <w:pPr>
        <w:spacing w:after="120"/>
      </w:pPr>
      <w:r>
        <w:rPr>
          <w:rFonts w:ascii="Arial" w:hAnsi="Arial"/>
          <w:b w:val="0"/>
          <w:color w:val="161B26"/>
          <w:sz w:val="22"/>
        </w:rPr>
        <w:t>The project ends before the benefits arrive. The benefits management plan names the benefits owner, the metrics and the measurement timeframe, so that value is confirmed after handover rather than assumed at closure. The 2026 outline's emphasis on value-based delivery makes this explicit: verify a measurement system is in place to track benefits.</w:t>
      </w:r>
    </w:p>
    <w:p>
      <w:pPr>
        <w:pStyle w:val="ListBullet"/>
      </w:pPr>
      <w:r>
        <w:rPr>
          <w:rFonts w:ascii="Arial" w:hAnsi="Arial"/>
          <w:sz w:val="22"/>
        </w:rPr>
        <w:t>Benefits are usually realised after the project closes</w:t>
      </w:r>
    </w:p>
    <w:p>
      <w:pPr>
        <w:pStyle w:val="ListBullet"/>
      </w:pPr>
      <w:r>
        <w:rPr>
          <w:rFonts w:ascii="Arial" w:hAnsi="Arial"/>
          <w:sz w:val="22"/>
        </w:rPr>
        <w:t>A named benefits owner carries accountability past project end</w:t>
      </w:r>
    </w:p>
    <w:p>
      <w:pPr>
        <w:pStyle w:val="ListBullet"/>
      </w:pPr>
      <w:r>
        <w:rPr>
          <w:rFonts w:ascii="Arial" w:hAnsi="Arial"/>
          <w:sz w:val="22"/>
        </w:rPr>
        <w:t>Metrics and baselines must exist before you can claim value</w:t>
      </w:r>
    </w:p>
    <w:p>
      <w:pPr>
        <w:pStyle w:val="ListBullet"/>
      </w:pPr>
      <w:r>
        <w:rPr>
          <w:rFonts w:ascii="Arial" w:hAnsi="Arial"/>
          <w:sz w:val="22"/>
        </w:rPr>
        <w:t>Examine business value throughout — not only at the gate reviews</w:t>
      </w:r>
    </w:p>
    <w:p>
      <w:pPr>
        <w:pStyle w:val="Heading2"/>
      </w:pPr>
      <w:r>
        <w:t>Preparing for the examination</w:t>
      </w:r>
    </w:p>
    <w:p>
      <w:pPr>
        <w:spacing w:after="120"/>
      </w:pPr>
      <w:r>
        <w:rPr>
          <w:rFonts w:ascii="Arial" w:hAnsi="Arial"/>
          <w:b w:val="0"/>
          <w:color w:val="161B26"/>
          <w:sz w:val="22"/>
        </w:rPr>
        <w:t>The exam is 180 questions in 240 minutes: about eighty seconds each. Ten questions are unscored pretest items, indistinguishable from the rest. Two ten-minute breaks are offered, the first after the case-study section — and once you start a break you cannot return to the previous section, so review before you break, not after.</w:t>
      </w:r>
    </w:p>
    <w:p>
      <w:pPr>
        <w:pStyle w:val="ListBullet"/>
      </w:pPr>
      <w:r>
        <w:rPr>
          <w:rFonts w:ascii="Arial" w:hAnsi="Arial"/>
          <w:sz w:val="22"/>
        </w:rPr>
        <w:t>180 questions (170 scored, 10 pretest) in 240 minutes</w:t>
      </w:r>
    </w:p>
    <w:p>
      <w:pPr>
        <w:pStyle w:val="ListBullet"/>
      </w:pPr>
      <w:r>
        <w:rPr>
          <w:rFonts w:ascii="Arial" w:hAnsi="Arial"/>
          <w:sz w:val="22"/>
        </w:rPr>
        <w:t>People 33% · Process 41% · Business Environment 26%</w:t>
      </w:r>
    </w:p>
    <w:p>
      <w:pPr>
        <w:pStyle w:val="ListBullet"/>
      </w:pPr>
      <w:r>
        <w:rPr>
          <w:rFonts w:ascii="Arial" w:hAnsi="Arial"/>
          <w:sz w:val="22"/>
        </w:rPr>
        <w:t>About 40% predictive, 60% adaptive and hybrid</w:t>
      </w:r>
    </w:p>
    <w:p>
      <w:pPr>
        <w:pStyle w:val="ListBullet"/>
      </w:pPr>
      <w:r>
        <w:rPr>
          <w:rFonts w:ascii="Arial" w:hAnsi="Arial"/>
          <w:sz w:val="22"/>
        </w:rPr>
        <w:t>Six question types, including the new graphic-based items</w:t>
      </w:r>
    </w:p>
    <w:p>
      <w:pPr>
        <w:pStyle w:val="ListBullet"/>
      </w:pPr>
      <w:r>
        <w:rPr>
          <w:rFonts w:ascii="Arial" w:hAnsi="Arial"/>
          <w:sz w:val="22"/>
        </w:rPr>
        <w:t>Read for what the question ASKS — 'first', 'best', 'next' change the answer</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23</w:t>
            </w:r>
          </w:p>
        </w:tc>
        <w:tc>
          <w:tcPr>
            <w:tcW w:type="dxa" w:w="1234"/>
          </w:tcPr>
          <w:p>
            <w:r/>
            <w:r>
              <w:rPr>
                <w:rFonts w:ascii="Arial" w:hAnsi="Arial"/>
                <w:b w:val="0"/>
                <w:color w:val="5B6372"/>
                <w:sz w:val="18"/>
              </w:rPr>
              <w:t>Project Closure, Benefits Realisation and Lessons Learned</w:t>
            </w:r>
          </w:p>
        </w:tc>
        <w:tc>
          <w:tcPr>
            <w:tcW w:type="dxa" w:w="1234"/>
          </w:tcPr>
          <w:p>
            <w:r/>
            <w:r>
              <w:rPr>
                <w:rFonts w:ascii="Arial" w:hAnsi="Arial"/>
                <w:b w:val="0"/>
                <w:color w:val="5B6372"/>
                <w:sz w:val="18"/>
              </w:rPr>
              <w:t>Process T10, BE T6</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60 min</w:t>
            </w:r>
          </w:p>
        </w:tc>
        <w:tc>
          <w:tcPr>
            <w:tcW w:type="dxa" w:w="1234"/>
          </w:tcPr>
          <w:p>
            <w:r/>
            <w:r>
              <w:rPr>
                <w:rFonts w:ascii="Arial" w:hAnsi="Arial"/>
                <w:b w:val="0"/>
                <w:color w:val="5B6372"/>
                <w:sz w:val="18"/>
              </w:rPr>
              <w:t>0 min</w:t>
            </w:r>
          </w:p>
        </w:tc>
        <w:tc>
          <w:tcPr>
            <w:tcW w:type="dxa" w:w="1234"/>
          </w:tcPr>
          <w:p>
            <w:r/>
            <w:r>
              <w:rPr>
                <w:rFonts w:ascii="Arial" w:hAnsi="Arial"/>
                <w:b w:val="0"/>
                <w:color w:val="5B6372"/>
                <w:sz w:val="18"/>
              </w:rPr>
              <w:t>Closure checklist, Final report, Lessons learned register</w:t>
            </w:r>
          </w:p>
        </w:tc>
      </w:tr>
      <w:tr>
        <w:tc>
          <w:tcPr>
            <w:tcW w:type="dxa" w:w="1234"/>
            <w:shd w:val="clear" w:fill="E8F0FE"/>
          </w:tcPr>
          <w:p>
            <w:r/>
            <w:r>
              <w:rPr>
                <w:rFonts w:ascii="Arial" w:hAnsi="Arial"/>
                <w:b/>
                <w:color w:val="161B26"/>
                <w:sz w:val="18"/>
              </w:rPr>
              <w:t>24</w:t>
            </w:r>
          </w:p>
        </w:tc>
        <w:tc>
          <w:tcPr>
            <w:tcW w:type="dxa" w:w="1234"/>
          </w:tcPr>
          <w:p>
            <w:r/>
            <w:r>
              <w:rPr>
                <w:rFonts w:ascii="Arial" w:hAnsi="Arial"/>
                <w:b w:val="0"/>
                <w:color w:val="5B6372"/>
                <w:sz w:val="18"/>
              </w:rPr>
              <w:t>Capstone: Consolidated Project Plan and Mock Exam</w:t>
            </w:r>
          </w:p>
        </w:tc>
        <w:tc>
          <w:tcPr>
            <w:tcW w:type="dxa" w:w="1234"/>
          </w:tcPr>
          <w:p>
            <w:r/>
            <w:r>
              <w:rPr>
                <w:rFonts w:ascii="Arial" w:hAnsi="Arial"/>
                <w:b w:val="0"/>
                <w:color w:val="5B6372"/>
                <w:sz w:val="18"/>
              </w:rPr>
              <w:t>All domains</w:t>
            </w:r>
          </w:p>
        </w:tc>
        <w:tc>
          <w:tcPr>
            <w:tcW w:type="dxa" w:w="1234"/>
          </w:tcPr>
          <w:p>
            <w:r/>
            <w:r>
              <w:rPr>
                <w:rFonts w:ascii="Arial" w:hAnsi="Arial"/>
                <w:b w:val="0"/>
                <w:color w:val="5B6372"/>
                <w:sz w:val="18"/>
              </w:rPr>
              <w:t>LO1-LO5</w:t>
            </w:r>
          </w:p>
        </w:tc>
        <w:tc>
          <w:tcPr>
            <w:tcW w:type="dxa" w:w="1234"/>
          </w:tcPr>
          <w:p>
            <w:r/>
            <w:r>
              <w:rPr>
                <w:rFonts w:ascii="Arial" w:hAnsi="Arial"/>
                <w:b w:val="0"/>
                <w:color w:val="5B6372"/>
                <w:sz w:val="18"/>
              </w:rPr>
              <w:t>105 min</w:t>
            </w:r>
          </w:p>
        </w:tc>
        <w:tc>
          <w:tcPr>
            <w:tcW w:type="dxa" w:w="1234"/>
          </w:tcPr>
          <w:p>
            <w:r/>
            <w:r>
              <w:rPr>
                <w:rFonts w:ascii="Arial" w:hAnsi="Arial"/>
                <w:b w:val="0"/>
                <w:color w:val="5B6372"/>
                <w:sz w:val="18"/>
              </w:rPr>
              <w:t>15 min</w:t>
            </w:r>
          </w:p>
        </w:tc>
        <w:tc>
          <w:tcPr>
            <w:tcW w:type="dxa" w:w="1234"/>
          </w:tcPr>
          <w:p>
            <w:r/>
            <w:r>
              <w:rPr>
                <w:rFonts w:ascii="Arial" w:hAnsi="Arial"/>
                <w:b w:val="0"/>
                <w:color w:val="5B6372"/>
                <w:sz w:val="18"/>
              </w:rPr>
              <w:t>Consolidated project management plan, Mock exam score analysis by domain</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List the activities required to formally close a project or phase.</w:t>
      </w:r>
    </w:p>
    <w:p>
      <w:pPr>
        <w:pStyle w:val="ListNumber"/>
      </w:pPr>
      <w:r>
        <w:rPr>
          <w:rFonts w:ascii="Arial" w:hAnsi="Arial"/>
          <w:sz w:val="22"/>
        </w:rPr>
        <w:t>Why are benefits usually realised after the project has closed, and who is accountable for them?</w:t>
      </w:r>
    </w:p>
    <w:p>
      <w:pPr>
        <w:pStyle w:val="ListNumber"/>
      </w:pPr>
      <w:r>
        <w:rPr>
          <w:rFonts w:ascii="Arial" w:hAnsi="Arial"/>
          <w:sz w:val="22"/>
        </w:rPr>
        <w:t>What is the difference between the lessons learned register and the lessons learned repository?</w:t>
      </w:r>
    </w:p>
    <w:p>
      <w:pPr>
        <w:pStyle w:val="ListNumber"/>
      </w:pPr>
      <w:r>
        <w:rPr>
          <w:rFonts w:ascii="Arial" w:hAnsi="Arial"/>
          <w:sz w:val="22"/>
        </w:rPr>
        <w:t>A project is terminated early. Which closure activities still apply?</w:t>
      </w:r>
    </w:p>
    <w:p>
      <w:pPr>
        <w:pStyle w:val="ListNumber"/>
      </w:pPr>
      <w:r>
        <w:rPr>
          <w:rFonts w:ascii="Arial" w:hAnsi="Arial"/>
          <w:sz w:val="22"/>
        </w:rPr>
        <w:t>State the exam's question count, scored count, duration and break structure.</w:t>
      </w:r>
    </w:p>
    <w:p>
      <w:pPr>
        <w:pStyle w:val="ListNumber"/>
      </w:pPr>
      <w:r>
        <w:rPr>
          <w:rFonts w:ascii="Arial" w:hAnsi="Arial"/>
          <w:sz w:val="22"/>
        </w:rPr>
        <w:t>Explain the significance of the words 'first', 'best' and 'next' in a situational exam question.</w:t>
      </w:r>
    </w:p>
    <w:p>
      <w:r>
        <w:br w:type="page"/>
      </w:r>
    </w:p>
    <w:p>
      <w:pPr>
        <w:pStyle w:val="Heading1"/>
      </w:pPr>
      <w:r>
        <w:t>Complete Lab Index</w:t>
      </w:r>
    </w:p>
    <w:p>
      <w:pPr>
        <w:spacing w:after="120"/>
      </w:pPr>
      <w:r>
        <w:rPr>
          <w:rFonts w:ascii="Arial" w:hAnsi="Arial"/>
          <w:b w:val="0"/>
          <w:color w:val="161B26"/>
          <w:sz w:val="22"/>
        </w:rPr>
        <w:t>24 labs totalling 1285 minutes (21.4 hours) of hands-on practice: 705 minutes timetabled in class across the four days, and 580 minutes of extension work you complete as self-study.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1F6FEB"/>
          </w:tcPr>
          <w:p>
            <w:r/>
            <w:r>
              <w:rPr>
                <w:rFonts w:ascii="Arial" w:hAnsi="Arial"/>
                <w:b/>
                <w:color w:val="FFFFFF"/>
                <w:sz w:val="19"/>
              </w:rPr>
              <w:t>Lab</w:t>
            </w:r>
          </w:p>
        </w:tc>
        <w:tc>
          <w:tcPr>
            <w:tcW w:type="dxa" w:w="1080"/>
            <w:shd w:val="clear" w:fill="1F6FEB"/>
          </w:tcPr>
          <w:p>
            <w:r/>
            <w:r>
              <w:rPr>
                <w:rFonts w:ascii="Arial" w:hAnsi="Arial"/>
                <w:b/>
                <w:color w:val="FFFFFF"/>
                <w:sz w:val="19"/>
              </w:rPr>
              <w:t>Title</w:t>
            </w:r>
          </w:p>
        </w:tc>
        <w:tc>
          <w:tcPr>
            <w:tcW w:type="dxa" w:w="1080"/>
            <w:shd w:val="clear" w:fill="1F6FEB"/>
          </w:tcPr>
          <w:p>
            <w:r/>
            <w:r>
              <w:rPr>
                <w:rFonts w:ascii="Arial" w:hAnsi="Arial"/>
                <w:b/>
                <w:color w:val="FFFFFF"/>
                <w:sz w:val="19"/>
              </w:rPr>
              <w:t>Day</w:t>
            </w:r>
          </w:p>
        </w:tc>
        <w:tc>
          <w:tcPr>
            <w:tcW w:type="dxa" w:w="1080"/>
            <w:shd w:val="clear" w:fill="1F6FEB"/>
          </w:tcPr>
          <w:p>
            <w:r/>
            <w:r>
              <w:rPr>
                <w:rFonts w:ascii="Arial" w:hAnsi="Arial"/>
                <w:b/>
                <w:color w:val="FFFFFF"/>
                <w:sz w:val="19"/>
              </w:rPr>
              <w:t>Topic</w:t>
            </w:r>
          </w:p>
        </w:tc>
        <w:tc>
          <w:tcPr>
            <w:tcW w:type="dxa" w:w="1080"/>
            <w:shd w:val="clear" w:fill="1F6FEB"/>
          </w:tcPr>
          <w:p>
            <w:r/>
            <w:r>
              <w:rPr>
                <w:rFonts w:ascii="Arial" w:hAnsi="Arial"/>
                <w:b/>
                <w:color w:val="FFFFFF"/>
                <w:sz w:val="19"/>
              </w:rPr>
              <w:t>ECO Task</w:t>
            </w:r>
          </w:p>
        </w:tc>
        <w:tc>
          <w:tcPr>
            <w:tcW w:type="dxa" w:w="1080"/>
            <w:shd w:val="clear" w:fill="1F6FEB"/>
          </w:tcPr>
          <w:p>
            <w:r/>
            <w:r>
              <w:rPr>
                <w:rFonts w:ascii="Arial" w:hAnsi="Arial"/>
                <w:b/>
                <w:color w:val="FFFFFF"/>
                <w:sz w:val="19"/>
              </w:rPr>
              <w:t>LO</w:t>
            </w:r>
          </w:p>
        </w:tc>
        <w:tc>
          <w:tcPr>
            <w:tcW w:type="dxa" w:w="1080"/>
            <w:shd w:val="clear" w:fill="1F6FEB"/>
          </w:tcPr>
          <w:p>
            <w:r/>
            <w:r>
              <w:rPr>
                <w:rFonts w:ascii="Arial" w:hAnsi="Arial"/>
                <w:b/>
                <w:color w:val="FFFFFF"/>
                <w:sz w:val="19"/>
              </w:rPr>
              <w:t>In class</w:t>
            </w:r>
          </w:p>
        </w:tc>
        <w:tc>
          <w:tcPr>
            <w:tcW w:type="dxa" w:w="1080"/>
            <w:shd w:val="clear" w:fill="1F6FEB"/>
          </w:tcPr>
          <w:p>
            <w:r/>
            <w:r>
              <w:rPr>
                <w:rFonts w:ascii="Arial" w:hAnsi="Arial"/>
                <w:b/>
                <w:color w:val="FFFFFF"/>
                <w:sz w:val="19"/>
              </w:rPr>
              <w:t>Self-study</w:t>
            </w:r>
          </w:p>
        </w:tc>
      </w:tr>
      <w:tr>
        <w:tc>
          <w:tcPr>
            <w:tcW w:type="dxa" w:w="1080"/>
            <w:shd w:val="clear" w:fill="E8F0FE"/>
          </w:tcPr>
          <w:p>
            <w:r/>
            <w:r>
              <w:rPr>
                <w:rFonts w:ascii="Arial" w:hAnsi="Arial"/>
                <w:b/>
                <w:color w:val="161B26"/>
                <w:sz w:val="18"/>
              </w:rPr>
              <w:t>01</w:t>
            </w:r>
          </w:p>
        </w:tc>
        <w:tc>
          <w:tcPr>
            <w:tcW w:type="dxa" w:w="1080"/>
          </w:tcPr>
          <w:p>
            <w:r>
              <w:t>PMP Exam Orientation and Study Plan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All domains</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02</w:t>
            </w:r>
          </w:p>
        </w:tc>
        <w:tc>
          <w:tcPr>
            <w:tcW w:type="dxa" w:w="1080"/>
          </w:tcPr>
          <w:p>
            <w:r/>
            <w:r>
              <w:rPr>
                <w:rFonts w:ascii="Arial" w:hAnsi="Arial"/>
                <w:b w:val="0"/>
                <w:color w:val="5B6372"/>
                <w:sz w:val="18"/>
              </w:rPr>
              <w:t>PESTLE and TECOP External Environment Scan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T8</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03</w:t>
            </w:r>
          </w:p>
        </w:tc>
        <w:tc>
          <w:tcPr>
            <w:tcW w:type="dxa" w:w="1080"/>
          </w:tcPr>
          <w:p>
            <w:r/>
            <w:r>
              <w:rPr>
                <w:rFonts w:ascii="Arial" w:hAnsi="Arial"/>
                <w:b w:val="0"/>
                <w:color w:val="5B6372"/>
                <w:sz w:val="18"/>
              </w:rPr>
              <w:t>EEF/OPA Inventory with Governance and Escalation Thresholds</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T1</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04</w:t>
            </w:r>
          </w:p>
        </w:tc>
        <w:tc>
          <w:tcPr>
            <w:tcW w:type="dxa" w:w="1080"/>
          </w:tcPr>
          <w:p>
            <w:r/>
            <w:r>
              <w:rPr>
                <w:rFonts w:ascii="Arial" w:hAnsi="Arial"/>
                <w:b w:val="0"/>
                <w:color w:val="5B6372"/>
                <w:sz w:val="18"/>
              </w:rPr>
              <w:t>Compliance, Sustainability and AI Governance Register</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T2</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05</w:t>
            </w:r>
          </w:p>
        </w:tc>
        <w:tc>
          <w:tcPr>
            <w:tcW w:type="dxa" w:w="1080"/>
          </w:tcPr>
          <w:p>
            <w:r/>
            <w:r>
              <w:rPr>
                <w:rFonts w:ascii="Arial" w:hAnsi="Arial"/>
                <w:b w:val="0"/>
                <w:color w:val="5B6372"/>
                <w:sz w:val="18"/>
              </w:rPr>
              <w:t>Business Case and Cost-Benefit Analysis</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Process T3</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06</w:t>
            </w:r>
          </w:p>
        </w:tc>
        <w:tc>
          <w:tcPr>
            <w:tcW w:type="dxa" w:w="1080"/>
          </w:tcPr>
          <w:p>
            <w:r/>
            <w:r>
              <w:rPr>
                <w:rFonts w:ascii="Arial" w:hAnsi="Arial"/>
                <w:b w:val="0"/>
                <w:color w:val="5B6372"/>
                <w:sz w:val="18"/>
              </w:rPr>
              <w:t>Project Charter</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Process T1</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07</w:t>
            </w:r>
          </w:p>
        </w:tc>
        <w:tc>
          <w:tcPr>
            <w:tcW w:type="dxa" w:w="1080"/>
          </w:tcPr>
          <w:p>
            <w:r/>
            <w:r>
              <w:rPr>
                <w:rFonts w:ascii="Arial" w:hAnsi="Arial"/>
                <w:b w:val="0"/>
                <w:color w:val="5B6372"/>
                <w:sz w:val="18"/>
              </w:rPr>
              <w:t>Stakeholder Register, Power/Interest Grid and Salience Model</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People T4, T5</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08</w:t>
            </w:r>
          </w:p>
        </w:tc>
        <w:tc>
          <w:tcPr>
            <w:tcW w:type="dxa" w:w="1080"/>
          </w:tcPr>
          <w:p>
            <w:r/>
            <w:r>
              <w:rPr>
                <w:rFonts w:ascii="Arial" w:hAnsi="Arial"/>
                <w:b w:val="0"/>
                <w:color w:val="5B6372"/>
                <w:sz w:val="18"/>
              </w:rPr>
              <w:t>Team Charter, Ground Rules and Shared Vision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People T1, T2</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15</w:t>
            </w:r>
          </w:p>
        </w:tc>
      </w:tr>
      <w:tr>
        <w:tc>
          <w:tcPr>
            <w:tcW w:type="dxa" w:w="1080"/>
            <w:shd w:val="clear" w:fill="E8F0FE"/>
          </w:tcPr>
          <w:p>
            <w:r/>
            <w:r>
              <w:rPr>
                <w:rFonts w:ascii="Arial" w:hAnsi="Arial"/>
                <w:b/>
                <w:color w:val="161B26"/>
                <w:sz w:val="18"/>
              </w:rPr>
              <w:t>09</w:t>
            </w:r>
          </w:p>
        </w:tc>
        <w:tc>
          <w:tcPr>
            <w:tcW w:type="dxa" w:w="1080"/>
          </w:tcPr>
          <w:p>
            <w:r/>
            <w:r>
              <w:rPr>
                <w:rFonts w:ascii="Arial" w:hAnsi="Arial"/>
                <w:b w:val="0"/>
                <w:color w:val="5B6372"/>
                <w:sz w:val="18"/>
              </w:rPr>
              <w:t>Requirements Elicitation and Traceability Matrix</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T2</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10</w:t>
            </w:r>
          </w:p>
        </w:tc>
        <w:tc>
          <w:tcPr>
            <w:tcW w:type="dxa" w:w="1080"/>
          </w:tcPr>
          <w:p>
            <w:r/>
            <w:r>
              <w:rPr>
                <w:rFonts w:ascii="Arial" w:hAnsi="Arial"/>
                <w:b w:val="0"/>
                <w:color w:val="5B6372"/>
                <w:sz w:val="18"/>
              </w:rPr>
              <w:t>MoSCoW and Kano Prioritisation with Product Backlog</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T3</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11</w:t>
            </w:r>
          </w:p>
        </w:tc>
        <w:tc>
          <w:tcPr>
            <w:tcW w:type="dxa" w:w="1080"/>
          </w:tcPr>
          <w:p>
            <w:r/>
            <w:r>
              <w:rPr>
                <w:rFonts w:ascii="Arial" w:hAnsi="Arial"/>
                <w:b w:val="0"/>
                <w:color w:val="5B6372"/>
                <w:sz w:val="18"/>
              </w:rPr>
              <w:t>Work Breakdown Structure and WBS Dictionary</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T2</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12</w:t>
            </w:r>
          </w:p>
        </w:tc>
        <w:tc>
          <w:tcPr>
            <w:tcW w:type="dxa" w:w="1080"/>
          </w:tcPr>
          <w:p>
            <w:r/>
            <w:r>
              <w:rPr>
                <w:rFonts w:ascii="Arial" w:hAnsi="Arial"/>
                <w:b w:val="0"/>
                <w:color w:val="5B6372"/>
                <w:sz w:val="18"/>
              </w:rPr>
              <w:t>Network Diagram, PERT Estimating and Critical Path</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T8</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35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13</w:t>
            </w:r>
          </w:p>
        </w:tc>
        <w:tc>
          <w:tcPr>
            <w:tcW w:type="dxa" w:w="1080"/>
          </w:tcPr>
          <w:p>
            <w:r/>
            <w:r>
              <w:rPr>
                <w:rFonts w:ascii="Arial" w:hAnsi="Arial"/>
                <w:b w:val="0"/>
                <w:color w:val="5B6372"/>
                <w:sz w:val="18"/>
              </w:rPr>
              <w:t>Cost Estimating, Budget and Reserve Analysis</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T6</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14</w:t>
            </w:r>
          </w:p>
        </w:tc>
        <w:tc>
          <w:tcPr>
            <w:tcW w:type="dxa" w:w="1080"/>
          </w:tcPr>
          <w:p>
            <w:r/>
            <w:r>
              <w:rPr>
                <w:rFonts w:ascii="Arial" w:hAnsi="Arial"/>
                <w:b w:val="0"/>
                <w:color w:val="5B6372"/>
                <w:sz w:val="18"/>
              </w:rPr>
              <w:t>Risk Register, Probability/Impact Matrix and EMV Decision Tree</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BE T5</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15</w:t>
            </w:r>
          </w:p>
        </w:tc>
        <w:tc>
          <w:tcPr>
            <w:tcW w:type="dxa" w:w="1080"/>
          </w:tcPr>
          <w:p>
            <w:r/>
            <w:r>
              <w:rPr>
                <w:rFonts w:ascii="Arial" w:hAnsi="Arial"/>
                <w:b w:val="0"/>
                <w:color w:val="5B6372"/>
                <w:sz w:val="18"/>
              </w:rPr>
              <w:t>RACI Responsibility Assignment Matrix</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T3, Process T4</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16</w:t>
            </w:r>
          </w:p>
        </w:tc>
        <w:tc>
          <w:tcPr>
            <w:tcW w:type="dxa" w:w="1080"/>
          </w:tcPr>
          <w:p>
            <w:r/>
            <w:r>
              <w:rPr>
                <w:rFonts w:ascii="Arial" w:hAnsi="Arial"/>
                <w:b w:val="0"/>
                <w:color w:val="5B6372"/>
                <w:sz w:val="18"/>
              </w:rPr>
              <w:t>Tuckman Diagnosis and Motivation Theory Application</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T3</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17</w:t>
            </w:r>
          </w:p>
        </w:tc>
        <w:tc>
          <w:tcPr>
            <w:tcW w:type="dxa" w:w="1080"/>
          </w:tcPr>
          <w:p>
            <w:r/>
            <w:r>
              <w:rPr>
                <w:rFonts w:ascii="Arial" w:hAnsi="Arial"/>
                <w:b w:val="0"/>
                <w:color w:val="5B6372"/>
                <w:sz w:val="18"/>
              </w:rPr>
              <w:t>Conflict Resolution Role-Play across the Five Modes</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T2</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18</w:t>
            </w:r>
          </w:p>
        </w:tc>
        <w:tc>
          <w:tcPr>
            <w:tcW w:type="dxa" w:w="1080"/>
          </w:tcPr>
          <w:p>
            <w:r/>
            <w:r>
              <w:rPr>
                <w:rFonts w:ascii="Arial" w:hAnsi="Arial"/>
                <w:b w:val="0"/>
                <w:color w:val="5B6372"/>
                <w:sz w:val="18"/>
              </w:rPr>
              <w:t>Communication Plan, Channels Formula and Status Report</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T8</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19</w:t>
            </w:r>
          </w:p>
        </w:tc>
        <w:tc>
          <w:tcPr>
            <w:tcW w:type="dxa" w:w="1080"/>
          </w:tcPr>
          <w:p>
            <w:r/>
            <w:r>
              <w:rPr>
                <w:rFonts w:ascii="Arial" w:hAnsi="Arial"/>
                <w:b w:val="0"/>
                <w:color w:val="5B6372"/>
                <w:sz w:val="18"/>
              </w:rPr>
              <w:t>Kanban Board with WIP Limits and Lead/Cycle Time</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T9</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20</w:t>
            </w:r>
          </w:p>
        </w:tc>
        <w:tc>
          <w:tcPr>
            <w:tcW w:type="dxa" w:w="1080"/>
          </w:tcPr>
          <w:p>
            <w:r/>
            <w:r>
              <w:rPr>
                <w:rFonts w:ascii="Arial" w:hAnsi="Arial"/>
                <w:b w:val="0"/>
                <w:color w:val="5B6372"/>
                <w:sz w:val="18"/>
              </w:rPr>
              <w:t>Earned Value Management and Schedule Compression</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T9</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35</w:t>
            </w:r>
          </w:p>
        </w:tc>
      </w:tr>
      <w:tr>
        <w:tc>
          <w:tcPr>
            <w:tcW w:type="dxa" w:w="1080"/>
            <w:shd w:val="clear" w:fill="E8F0FE"/>
          </w:tcPr>
          <w:p>
            <w:r/>
            <w:r>
              <w:rPr>
                <w:rFonts w:ascii="Arial" w:hAnsi="Arial"/>
                <w:b/>
                <w:color w:val="161B26"/>
                <w:sz w:val="18"/>
              </w:rPr>
              <w:t>21</w:t>
            </w:r>
          </w:p>
        </w:tc>
        <w:tc>
          <w:tcPr>
            <w:tcW w:type="dxa" w:w="1080"/>
          </w:tcPr>
          <w:p>
            <w:r/>
            <w:r>
              <w:rPr>
                <w:rFonts w:ascii="Arial" w:hAnsi="Arial"/>
                <w:b w:val="0"/>
                <w:color w:val="5B6372"/>
                <w:sz w:val="18"/>
              </w:rPr>
              <w:t>Root Cause Analysis with 5 Whys, Fishbone and Pareto</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BE T4</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35</w:t>
            </w:r>
          </w:p>
        </w:tc>
      </w:tr>
      <w:tr>
        <w:tc>
          <w:tcPr>
            <w:tcW w:type="dxa" w:w="1080"/>
            <w:shd w:val="clear" w:fill="E8F0FE"/>
          </w:tcPr>
          <w:p>
            <w:r/>
            <w:r>
              <w:rPr>
                <w:rFonts w:ascii="Arial" w:hAnsi="Arial"/>
                <w:b/>
                <w:color w:val="161B26"/>
                <w:sz w:val="18"/>
              </w:rPr>
              <w:t>22</w:t>
            </w:r>
          </w:p>
        </w:tc>
        <w:tc>
          <w:tcPr>
            <w:tcW w:type="dxa" w:w="1080"/>
          </w:tcPr>
          <w:p>
            <w:r/>
            <w:r>
              <w:rPr>
                <w:rFonts w:ascii="Arial" w:hAnsi="Arial"/>
                <w:b w:val="0"/>
                <w:color w:val="5B6372"/>
                <w:sz w:val="18"/>
              </w:rPr>
              <w:t>SPC Control Chart and Statistical Process Analysis</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T7</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23</w:t>
            </w:r>
          </w:p>
        </w:tc>
        <w:tc>
          <w:tcPr>
            <w:tcW w:type="dxa" w:w="1080"/>
          </w:tcPr>
          <w:p>
            <w:r/>
            <w:r>
              <w:rPr>
                <w:rFonts w:ascii="Arial" w:hAnsi="Arial"/>
                <w:b w:val="0"/>
                <w:color w:val="5B6372"/>
                <w:sz w:val="18"/>
              </w:rPr>
              <w:t>Project Closure, Benefits Realisation and Lessons Learned</w:t>
            </w:r>
          </w:p>
        </w:tc>
        <w:tc>
          <w:tcPr>
            <w:tcW w:type="dxa" w:w="1080"/>
          </w:tcPr>
          <w:p>
            <w:r/>
            <w:r>
              <w:rPr>
                <w:rFonts w:ascii="Arial" w:hAnsi="Arial"/>
                <w:b w:val="0"/>
                <w:color w:val="5B6372"/>
                <w:sz w:val="18"/>
              </w:rPr>
              <w:t>Day 4</w:t>
            </w:r>
          </w:p>
        </w:tc>
        <w:tc>
          <w:tcPr>
            <w:tcW w:type="dxa" w:w="1080"/>
          </w:tcPr>
          <w:p>
            <w:r/>
            <w:r>
              <w:rPr>
                <w:rFonts w:ascii="Arial" w:hAnsi="Arial"/>
                <w:b w:val="0"/>
                <w:color w:val="5B6372"/>
                <w:sz w:val="18"/>
              </w:rPr>
              <w:t>T6</w:t>
            </w:r>
          </w:p>
        </w:tc>
        <w:tc>
          <w:tcPr>
            <w:tcW w:type="dxa" w:w="1080"/>
          </w:tcPr>
          <w:p>
            <w:r/>
            <w:r>
              <w:rPr>
                <w:rFonts w:ascii="Arial" w:hAnsi="Arial"/>
                <w:b w:val="0"/>
                <w:color w:val="5B6372"/>
                <w:sz w:val="18"/>
              </w:rPr>
              <w:t>Process T10, BE T6</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60</w:t>
            </w:r>
          </w:p>
        </w:tc>
        <w:tc>
          <w:tcPr>
            <w:tcW w:type="dxa" w:w="1080"/>
          </w:tcPr>
          <w:p>
            <w:r/>
            <w:r>
              <w:rPr>
                <w:rFonts w:ascii="Arial" w:hAnsi="Arial"/>
                <w:b w:val="0"/>
                <w:color w:val="5B6372"/>
                <w:sz w:val="18"/>
              </w:rPr>
              <w:t>0</w:t>
            </w:r>
          </w:p>
        </w:tc>
      </w:tr>
      <w:tr>
        <w:tc>
          <w:tcPr>
            <w:tcW w:type="dxa" w:w="1080"/>
            <w:shd w:val="clear" w:fill="E8F0FE"/>
          </w:tcPr>
          <w:p>
            <w:r/>
            <w:r>
              <w:rPr>
                <w:rFonts w:ascii="Arial" w:hAnsi="Arial"/>
                <w:b/>
                <w:color w:val="161B26"/>
                <w:sz w:val="18"/>
              </w:rPr>
              <w:t>24</w:t>
            </w:r>
          </w:p>
        </w:tc>
        <w:tc>
          <w:tcPr>
            <w:tcW w:type="dxa" w:w="1080"/>
          </w:tcPr>
          <w:p>
            <w:r/>
            <w:r>
              <w:rPr>
                <w:rFonts w:ascii="Arial" w:hAnsi="Arial"/>
                <w:b w:val="0"/>
                <w:color w:val="5B6372"/>
                <w:sz w:val="18"/>
              </w:rPr>
              <w:t>Capstone: Consolidated Project Plan and Mock Exam</w:t>
            </w:r>
          </w:p>
        </w:tc>
        <w:tc>
          <w:tcPr>
            <w:tcW w:type="dxa" w:w="1080"/>
          </w:tcPr>
          <w:p>
            <w:r/>
            <w:r>
              <w:rPr>
                <w:rFonts w:ascii="Arial" w:hAnsi="Arial"/>
                <w:b w:val="0"/>
                <w:color w:val="5B6372"/>
                <w:sz w:val="18"/>
              </w:rPr>
              <w:t>Day 4</w:t>
            </w:r>
          </w:p>
        </w:tc>
        <w:tc>
          <w:tcPr>
            <w:tcW w:type="dxa" w:w="1080"/>
          </w:tcPr>
          <w:p>
            <w:r/>
            <w:r>
              <w:rPr>
                <w:rFonts w:ascii="Arial" w:hAnsi="Arial"/>
                <w:b w:val="0"/>
                <w:color w:val="5B6372"/>
                <w:sz w:val="18"/>
              </w:rPr>
              <w:t>T6</w:t>
            </w:r>
          </w:p>
        </w:tc>
        <w:tc>
          <w:tcPr>
            <w:tcW w:type="dxa" w:w="1080"/>
          </w:tcPr>
          <w:p>
            <w:r/>
            <w:r>
              <w:rPr>
                <w:rFonts w:ascii="Arial" w:hAnsi="Arial"/>
                <w:b w:val="0"/>
                <w:color w:val="5B6372"/>
                <w:sz w:val="18"/>
              </w:rPr>
              <w:t>All domains</w:t>
            </w:r>
          </w:p>
        </w:tc>
        <w:tc>
          <w:tcPr>
            <w:tcW w:type="dxa" w:w="1080"/>
          </w:tcPr>
          <w:p>
            <w:r/>
            <w:r>
              <w:rPr>
                <w:rFonts w:ascii="Arial" w:hAnsi="Arial"/>
                <w:b w:val="0"/>
                <w:color w:val="5B6372"/>
                <w:sz w:val="18"/>
              </w:rPr>
              <w:t>LO1-LO5</w:t>
            </w:r>
          </w:p>
        </w:tc>
        <w:tc>
          <w:tcPr>
            <w:tcW w:type="dxa" w:w="1080"/>
          </w:tcPr>
          <w:p>
            <w:r/>
            <w:r>
              <w:rPr>
                <w:rFonts w:ascii="Arial" w:hAnsi="Arial"/>
                <w:b w:val="0"/>
                <w:color w:val="5B6372"/>
                <w:sz w:val="18"/>
              </w:rPr>
              <w:t>105</w:t>
            </w:r>
          </w:p>
        </w:tc>
        <w:tc>
          <w:tcPr>
            <w:tcW w:type="dxa" w:w="1080"/>
          </w:tcPr>
          <w:p>
            <w:r/>
            <w:r>
              <w:rPr>
                <w:rFonts w:ascii="Arial" w:hAnsi="Arial"/>
                <w:b w:val="0"/>
                <w:color w:val="5B6372"/>
                <w:sz w:val="18"/>
              </w:rPr>
              <w:t>15</w:t>
            </w:r>
          </w:p>
        </w:tc>
      </w:tr>
    </w:tbl>
    <w:p>
      <w:pPr>
        <w:pStyle w:val="Heading2"/>
      </w:pPr>
      <w:r>
        <w:t>Tools Used in the Labs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Tool</w:t>
            </w:r>
          </w:p>
        </w:tc>
        <w:tc>
          <w:tcPr>
            <w:tcW w:type="dxa" w:w="2880"/>
            <w:shd w:val="clear" w:fill="1F6FEB"/>
          </w:tcPr>
          <w:p>
            <w:r/>
            <w:r>
              <w:rPr>
                <w:rFonts w:ascii="Arial" w:hAnsi="Arial"/>
                <w:b/>
                <w:color w:val="FFFFFF"/>
                <w:sz w:val="19"/>
              </w:rPr>
              <w:t>Purpose</w:t>
            </w:r>
          </w:p>
        </w:tc>
        <w:tc>
          <w:tcPr>
            <w:tcW w:type="dxa" w:w="2880"/>
            <w:shd w:val="clear" w:fill="1F6FEB"/>
          </w:tcPr>
          <w:p>
            <w:r/>
            <w:r>
              <w:rPr>
                <w:rFonts w:ascii="Arial" w:hAnsi="Arial"/>
                <w:b/>
                <w:color w:val="FFFFFF"/>
                <w:sz w:val="19"/>
              </w:rPr>
              <w:t>URL</w:t>
            </w:r>
          </w:p>
        </w:tc>
      </w:tr>
      <w:tr>
        <w:tc>
          <w:tcPr>
            <w:tcW w:type="dxa" w:w="2880"/>
            <w:shd w:val="clear" w:fill="E8F0FE"/>
          </w:tcPr>
          <w:p>
            <w:r/>
            <w:r>
              <w:rPr>
                <w:rFonts w:ascii="Arial" w:hAnsi="Arial"/>
                <w:b/>
                <w:color w:val="161B26"/>
                <w:sz w:val="18"/>
              </w:rPr>
              <w:t>5 Whys</w:t>
            </w:r>
          </w:p>
        </w:tc>
        <w:tc>
          <w:tcPr>
            <w:tcW w:type="dxa" w:w="2880"/>
          </w:tcPr>
          <w:p>
            <w:r/>
            <w:r>
              <w:rPr>
                <w:rFonts w:ascii="Arial" w:hAnsi="Arial"/>
                <w:b w:val="0"/>
                <w:color w:val="5B6372"/>
                <w:sz w:val="18"/>
              </w:rPr>
              <w:t>Drill from a symptom to its root cause by asking 'why' five times.</w:t>
            </w:r>
          </w:p>
        </w:tc>
        <w:tc>
          <w:tcPr>
            <w:tcW w:type="dxa" w:w="2880"/>
          </w:tcPr>
          <w:p>
            <w:r/>
            <w:r>
              <w:rPr>
                <w:rFonts w:ascii="Arial" w:hAnsi="Arial"/>
                <w:b w:val="0"/>
                <w:color w:val="5B6372"/>
                <w:sz w:val="18"/>
              </w:rPr>
              <w:t>https://alfredang.github.io/5whys/</w:t>
            </w:r>
          </w:p>
        </w:tc>
      </w:tr>
      <w:tr>
        <w:tc>
          <w:tcPr>
            <w:tcW w:type="dxa" w:w="2880"/>
            <w:shd w:val="clear" w:fill="E8F0FE"/>
          </w:tcPr>
          <w:p>
            <w:r/>
            <w:r>
              <w:rPr>
                <w:rFonts w:ascii="Arial" w:hAnsi="Arial"/>
                <w:b/>
                <w:color w:val="161B26"/>
                <w:sz w:val="18"/>
              </w:rPr>
              <w:t>Fishbone Diagram</w:t>
            </w:r>
          </w:p>
        </w:tc>
        <w:tc>
          <w:tcPr>
            <w:tcW w:type="dxa" w:w="2880"/>
          </w:tcPr>
          <w:p>
            <w:r/>
            <w:r>
              <w:rPr>
                <w:rFonts w:ascii="Arial" w:hAnsi="Arial"/>
                <w:b w:val="0"/>
                <w:color w:val="5B6372"/>
                <w:sz w:val="18"/>
              </w:rPr>
              <w:t>Group candidate causes into categories around a problem statement.</w:t>
            </w:r>
          </w:p>
        </w:tc>
        <w:tc>
          <w:tcPr>
            <w:tcW w:type="dxa" w:w="2880"/>
          </w:tcPr>
          <w:p>
            <w:r/>
            <w:r>
              <w:rPr>
                <w:rFonts w:ascii="Arial" w:hAnsi="Arial"/>
                <w:b w:val="0"/>
                <w:color w:val="5B6372"/>
                <w:sz w:val="18"/>
              </w:rPr>
              <w:t>https://alfredang.github.io/fishbone/</w:t>
            </w:r>
          </w:p>
        </w:tc>
      </w:tr>
      <w:tr>
        <w:tc>
          <w:tcPr>
            <w:tcW w:type="dxa" w:w="2880"/>
            <w:shd w:val="clear" w:fill="E8F0FE"/>
          </w:tcPr>
          <w:p>
            <w:r/>
            <w:r>
              <w:rPr>
                <w:rFonts w:ascii="Arial" w:hAnsi="Arial"/>
                <w:b/>
                <w:color w:val="161B26"/>
                <w:sz w:val="18"/>
              </w:rPr>
              <w:t>Pareto Chart</w:t>
            </w:r>
          </w:p>
        </w:tc>
        <w:tc>
          <w:tcPr>
            <w:tcW w:type="dxa" w:w="2880"/>
          </w:tcPr>
          <w:p>
            <w:r/>
            <w:r>
              <w:rPr>
                <w:rFonts w:ascii="Arial" w:hAnsi="Arial"/>
                <w:b w:val="0"/>
                <w:color w:val="5B6372"/>
                <w:sz w:val="18"/>
              </w:rPr>
              <w:t>Rank defect categories to find the vital few driving most of the pain.</w:t>
            </w:r>
          </w:p>
        </w:tc>
        <w:tc>
          <w:tcPr>
            <w:tcW w:type="dxa" w:w="2880"/>
          </w:tcPr>
          <w:p>
            <w:r/>
            <w:r>
              <w:rPr>
                <w:rFonts w:ascii="Arial" w:hAnsi="Arial"/>
                <w:b w:val="0"/>
                <w:color w:val="5B6372"/>
                <w:sz w:val="18"/>
              </w:rPr>
              <w:t>https://alfredang.github.io/paretochart/</w:t>
            </w:r>
          </w:p>
        </w:tc>
      </w:tr>
      <w:tr>
        <w:tc>
          <w:tcPr>
            <w:tcW w:type="dxa" w:w="2880"/>
            <w:shd w:val="clear" w:fill="E8F0FE"/>
          </w:tcPr>
          <w:p>
            <w:r/>
            <w:r>
              <w:rPr>
                <w:rFonts w:ascii="Arial" w:hAnsi="Arial"/>
                <w:b/>
                <w:color w:val="161B26"/>
                <w:sz w:val="18"/>
              </w:rPr>
              <w:t>System Thinking</w:t>
            </w:r>
          </w:p>
        </w:tc>
        <w:tc>
          <w:tcPr>
            <w:tcW w:type="dxa" w:w="2880"/>
          </w:tcPr>
          <w:p>
            <w:r/>
            <w:r>
              <w:rPr>
                <w:rFonts w:ascii="Arial" w:hAnsi="Arial"/>
                <w:b w:val="0"/>
                <w:color w:val="5B6372"/>
                <w:sz w:val="18"/>
              </w:rPr>
              <w:t>Map reinforcing and balancing loops behind a recurring problem.</w:t>
            </w:r>
          </w:p>
        </w:tc>
        <w:tc>
          <w:tcPr>
            <w:tcW w:type="dxa" w:w="2880"/>
          </w:tcPr>
          <w:p>
            <w:r/>
            <w:r>
              <w:rPr>
                <w:rFonts w:ascii="Arial" w:hAnsi="Arial"/>
                <w:b w:val="0"/>
                <w:color w:val="5B6372"/>
                <w:sz w:val="18"/>
              </w:rPr>
              <w:t>https://alfredang.github.io/systemloop/</w:t>
            </w:r>
          </w:p>
        </w:tc>
      </w:tr>
      <w:tr>
        <w:tc>
          <w:tcPr>
            <w:tcW w:type="dxa" w:w="2880"/>
            <w:shd w:val="clear" w:fill="E8F0FE"/>
          </w:tcPr>
          <w:p>
            <w:r/>
            <w:r>
              <w:rPr>
                <w:rFonts w:ascii="Arial" w:hAnsi="Arial"/>
                <w:b/>
                <w:color w:val="161B26"/>
                <w:sz w:val="18"/>
              </w:rPr>
              <w:t>SPC / Control Chart</w:t>
            </w:r>
          </w:p>
        </w:tc>
        <w:tc>
          <w:tcPr>
            <w:tcW w:type="dxa" w:w="2880"/>
          </w:tcPr>
          <w:p>
            <w:r/>
            <w:r>
              <w:rPr>
                <w:rFonts w:ascii="Arial" w:hAnsi="Arial"/>
                <w:b w:val="0"/>
                <w:color w:val="5B6372"/>
                <w:sz w:val="18"/>
              </w:rPr>
              <w:t>Plot a process over time against control limits to separate signal from noise.</w:t>
            </w:r>
          </w:p>
        </w:tc>
        <w:tc>
          <w:tcPr>
            <w:tcW w:type="dxa" w:w="2880"/>
          </w:tcPr>
          <w:p>
            <w:r/>
            <w:r>
              <w:rPr>
                <w:rFonts w:ascii="Arial" w:hAnsi="Arial"/>
                <w:b w:val="0"/>
                <w:color w:val="5B6372"/>
                <w:sz w:val="18"/>
              </w:rPr>
              <w:t>https://alfredang.github.io/novaspc/</w:t>
            </w:r>
          </w:p>
        </w:tc>
      </w:tr>
      <w:tr>
        <w:tc>
          <w:tcPr>
            <w:tcW w:type="dxa" w:w="2880"/>
            <w:shd w:val="clear" w:fill="E8F0FE"/>
          </w:tcPr>
          <w:p>
            <w:r/>
            <w:r>
              <w:rPr>
                <w:rFonts w:ascii="Arial" w:hAnsi="Arial"/>
                <w:b/>
                <w:color w:val="161B26"/>
                <w:sz w:val="18"/>
              </w:rPr>
              <w:t>Statistics</w:t>
            </w:r>
          </w:p>
        </w:tc>
        <w:tc>
          <w:tcPr>
            <w:tcW w:type="dxa" w:w="2880"/>
          </w:tcPr>
          <w:p>
            <w:r/>
            <w:r>
              <w:rPr>
                <w:rFonts w:ascii="Arial" w:hAnsi="Arial"/>
                <w:b w:val="0"/>
                <w:color w:val="5B6372"/>
                <w:sz w:val="18"/>
              </w:rPr>
              <w:t>Descriptive statistics, distributions and hypothesis testing on project data.</w:t>
            </w:r>
          </w:p>
        </w:tc>
        <w:tc>
          <w:tcPr>
            <w:tcW w:type="dxa" w:w="2880"/>
          </w:tcPr>
          <w:p>
            <w:r/>
            <w:r>
              <w:rPr>
                <w:rFonts w:ascii="Arial" w:hAnsi="Arial"/>
                <w:b w:val="0"/>
                <w:color w:val="5B6372"/>
                <w:sz w:val="18"/>
              </w:rPr>
              <w:t>https://alfredang.github.io/novastats/</w:t>
            </w:r>
          </w:p>
        </w:tc>
      </w:tr>
      <w:tr>
        <w:tc>
          <w:tcPr>
            <w:tcW w:type="dxa" w:w="2880"/>
            <w:shd w:val="clear" w:fill="E8F0FE"/>
          </w:tcPr>
          <w:p>
            <w:r/>
            <w:r>
              <w:rPr>
                <w:rFonts w:ascii="Arial" w:hAnsi="Arial"/>
                <w:b/>
                <w:color w:val="161B26"/>
                <w:sz w:val="18"/>
              </w:rPr>
              <w:t>RACI Matrix</w:t>
            </w:r>
          </w:p>
        </w:tc>
        <w:tc>
          <w:tcPr>
            <w:tcW w:type="dxa" w:w="2880"/>
          </w:tcPr>
          <w:p>
            <w:r/>
            <w:r>
              <w:rPr>
                <w:rFonts w:ascii="Arial" w:hAnsi="Arial"/>
                <w:b w:val="0"/>
                <w:color w:val="5B6372"/>
                <w:sz w:val="18"/>
              </w:rPr>
              <w:t>Assign Responsible, Accountable, Consulted and Informed per work package.</w:t>
            </w:r>
          </w:p>
        </w:tc>
        <w:tc>
          <w:tcPr>
            <w:tcW w:type="dxa" w:w="2880"/>
          </w:tcPr>
          <w:p>
            <w:r/>
            <w:r>
              <w:rPr>
                <w:rFonts w:ascii="Arial" w:hAnsi="Arial"/>
                <w:b w:val="0"/>
                <w:color w:val="5B6372"/>
                <w:sz w:val="18"/>
              </w:rPr>
              <w:t>https://alfredang.github.io/raci/</w:t>
            </w:r>
          </w:p>
        </w:tc>
      </w:tr>
      <w:tr>
        <w:tc>
          <w:tcPr>
            <w:tcW w:type="dxa" w:w="2880"/>
            <w:shd w:val="clear" w:fill="E8F0FE"/>
          </w:tcPr>
          <w:p>
            <w:r/>
            <w:r>
              <w:rPr>
                <w:rFonts w:ascii="Arial" w:hAnsi="Arial"/>
                <w:b/>
                <w:color w:val="161B26"/>
                <w:sz w:val="18"/>
              </w:rPr>
              <w:t>Kanban Board</w:t>
            </w:r>
          </w:p>
        </w:tc>
        <w:tc>
          <w:tcPr>
            <w:tcW w:type="dxa" w:w="2880"/>
          </w:tcPr>
          <w:p>
            <w:r/>
            <w:r>
              <w:rPr>
                <w:rFonts w:ascii="Arial" w:hAnsi="Arial"/>
                <w:b w:val="0"/>
                <w:color w:val="5B6372"/>
                <w:sz w:val="18"/>
              </w:rPr>
              <w:t>Visualise work in progress, limit WIP and expose bottlenecks.</w:t>
            </w:r>
          </w:p>
        </w:tc>
        <w:tc>
          <w:tcPr>
            <w:tcW w:type="dxa" w:w="2880"/>
          </w:tcPr>
          <w:p>
            <w:r/>
            <w:r>
              <w:rPr>
                <w:rFonts w:ascii="Arial" w:hAnsi="Arial"/>
                <w:b w:val="0"/>
                <w:color w:val="5B6372"/>
                <w:sz w:val="18"/>
              </w:rPr>
              <w:t>https://alfredang.github.io/kanban/</w:t>
            </w:r>
          </w:p>
        </w:tc>
      </w:tr>
      <w:tr>
        <w:tc>
          <w:tcPr>
            <w:tcW w:type="dxa" w:w="2880"/>
            <w:shd w:val="clear" w:fill="E8F0FE"/>
          </w:tcPr>
          <w:p>
            <w:r/>
            <w:r>
              <w:rPr>
                <w:rFonts w:ascii="Arial" w:hAnsi="Arial"/>
                <w:b/>
                <w:color w:val="161B26"/>
                <w:sz w:val="18"/>
              </w:rPr>
              <w:t>Scrum Simulator</w:t>
            </w:r>
          </w:p>
        </w:tc>
        <w:tc>
          <w:tcPr>
            <w:tcW w:type="dxa" w:w="2880"/>
          </w:tcPr>
          <w:p>
            <w:r/>
            <w:r>
              <w:rPr>
                <w:rFonts w:ascii="Arial" w:hAnsi="Arial"/>
                <w:b w:val="0"/>
                <w:color w:val="5B6372"/>
                <w:sz w:val="18"/>
              </w:rPr>
              <w:t>Run sprint planning, review and retrospective mechanics.</w:t>
            </w:r>
          </w:p>
        </w:tc>
        <w:tc>
          <w:tcPr>
            <w:tcW w:type="dxa" w:w="2880"/>
          </w:tcPr>
          <w:p>
            <w:r/>
            <w:r>
              <w:rPr>
                <w:rFonts w:ascii="Arial" w:hAnsi="Arial"/>
                <w:b w:val="0"/>
                <w:color w:val="5B6372"/>
                <w:sz w:val="18"/>
              </w:rPr>
              <w:t>https://alfredang.github.io/scrum/</w:t>
            </w:r>
          </w:p>
        </w:tc>
      </w:tr>
      <w:tr>
        <w:tc>
          <w:tcPr>
            <w:tcW w:type="dxa" w:w="2880"/>
            <w:shd w:val="clear" w:fill="E8F0FE"/>
          </w:tcPr>
          <w:p>
            <w:r/>
            <w:r>
              <w:rPr>
                <w:rFonts w:ascii="Arial" w:hAnsi="Arial"/>
                <w:b/>
                <w:color w:val="161B26"/>
                <w:sz w:val="18"/>
              </w:rPr>
              <w:t>Mind Mapping</w:t>
            </w:r>
          </w:p>
        </w:tc>
        <w:tc>
          <w:tcPr>
            <w:tcW w:type="dxa" w:w="2880"/>
          </w:tcPr>
          <w:p>
            <w:r/>
            <w:r>
              <w:rPr>
                <w:rFonts w:ascii="Arial" w:hAnsi="Arial"/>
                <w:b w:val="0"/>
                <w:color w:val="5B6372"/>
                <w:sz w:val="18"/>
              </w:rPr>
              <w:t>Expand a central idea into branches for requirements discovery.</w:t>
            </w:r>
          </w:p>
        </w:tc>
        <w:tc>
          <w:tcPr>
            <w:tcW w:type="dxa" w:w="2880"/>
          </w:tcPr>
          <w:p>
            <w:r/>
            <w:r>
              <w:rPr>
                <w:rFonts w:ascii="Arial" w:hAnsi="Arial"/>
                <w:b w:val="0"/>
                <w:color w:val="5B6372"/>
                <w:sz w:val="18"/>
              </w:rPr>
              <w:t>https://alfredang.github.io/mindmapping/</w:t>
            </w:r>
          </w:p>
        </w:tc>
      </w:tr>
      <w:tr>
        <w:tc>
          <w:tcPr>
            <w:tcW w:type="dxa" w:w="2880"/>
            <w:shd w:val="clear" w:fill="E8F0FE"/>
          </w:tcPr>
          <w:p>
            <w:r/>
            <w:r>
              <w:rPr>
                <w:rFonts w:ascii="Arial" w:hAnsi="Arial"/>
                <w:b/>
                <w:color w:val="161B26"/>
                <w:sz w:val="18"/>
              </w:rPr>
              <w:t>Design Thinking</w:t>
            </w:r>
          </w:p>
        </w:tc>
        <w:tc>
          <w:tcPr>
            <w:tcW w:type="dxa" w:w="2880"/>
          </w:tcPr>
          <w:p>
            <w:r/>
            <w:r>
              <w:rPr>
                <w:rFonts w:ascii="Arial" w:hAnsi="Arial"/>
                <w:b w:val="0"/>
                <w:color w:val="5B6372"/>
                <w:sz w:val="18"/>
              </w:rPr>
              <w:t>Empathise, define, ideate, prototype and test a solution.</w:t>
            </w:r>
          </w:p>
        </w:tc>
        <w:tc>
          <w:tcPr>
            <w:tcW w:type="dxa" w:w="2880"/>
          </w:tcPr>
          <w:p>
            <w:r/>
            <w:r>
              <w:rPr>
                <w:rFonts w:ascii="Arial" w:hAnsi="Arial"/>
                <w:b w:val="0"/>
                <w:color w:val="5B6372"/>
                <w:sz w:val="18"/>
              </w:rPr>
              <w:t>https://alfredang.github.io/designthinking/</w:t>
            </w:r>
          </w:p>
        </w:tc>
      </w:tr>
      <w:tr>
        <w:tc>
          <w:tcPr>
            <w:tcW w:type="dxa" w:w="2880"/>
            <w:shd w:val="clear" w:fill="E8F0FE"/>
          </w:tcPr>
          <w:p>
            <w:r/>
            <w:r>
              <w:rPr>
                <w:rFonts w:ascii="Arial" w:hAnsi="Arial"/>
                <w:b/>
                <w:color w:val="161B26"/>
                <w:sz w:val="18"/>
              </w:rPr>
              <w:t>Pivot Analysis</w:t>
            </w:r>
          </w:p>
        </w:tc>
        <w:tc>
          <w:tcPr>
            <w:tcW w:type="dxa" w:w="2880"/>
          </w:tcPr>
          <w:p>
            <w:r/>
            <w:r>
              <w:rPr>
                <w:rFonts w:ascii="Arial" w:hAnsi="Arial"/>
                <w:b w:val="0"/>
                <w:color w:val="5B6372"/>
                <w:sz w:val="18"/>
              </w:rPr>
              <w:t>Slice project data by dimension to expose trends and outliers.</w:t>
            </w:r>
          </w:p>
        </w:tc>
        <w:tc>
          <w:tcPr>
            <w:tcW w:type="dxa" w:w="2880"/>
          </w:tcPr>
          <w:p>
            <w:r/>
            <w:r>
              <w:rPr>
                <w:rFonts w:ascii="Arial" w:hAnsi="Arial"/>
                <w:b w:val="0"/>
                <w:color w:val="5B6372"/>
                <w:sz w:val="18"/>
              </w:rPr>
              <w:t>https://alfredang.github.io/novapivot/</w:t>
            </w:r>
          </w:p>
        </w:tc>
      </w:tr>
    </w:tbl>
    <w:p>
      <w:r>
        <w:br w:type="page"/>
      </w:r>
    </w:p>
    <w:p>
      <w:pPr>
        <w:pStyle w:val="Heading1"/>
      </w:pPr>
      <w:r>
        <w:t>Preparing for the PMP Examination</w:t>
      </w:r>
    </w:p>
    <w:p>
      <w:pPr>
        <w:pStyle w:val="Heading2"/>
      </w:pPr>
      <w:r>
        <w:t>Exam Structure</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Element</w:t>
            </w:r>
          </w:p>
        </w:tc>
        <w:tc>
          <w:tcPr>
            <w:tcW w:type="dxa" w:w="4320"/>
            <w:shd w:val="clear" w:fill="1F6FEB"/>
          </w:tcPr>
          <w:p>
            <w:r/>
            <w:r>
              <w:rPr>
                <w:rFonts w:ascii="Arial" w:hAnsi="Arial"/>
                <w:b/>
                <w:color w:val="FFFFFF"/>
                <w:sz w:val="19"/>
              </w:rPr>
              <w:t>Detail</w:t>
            </w:r>
          </w:p>
        </w:tc>
      </w:tr>
      <w:tr>
        <w:tc>
          <w:tcPr>
            <w:tcW w:type="dxa" w:w="4320"/>
            <w:shd w:val="clear" w:fill="E8F0FE"/>
          </w:tcPr>
          <w:p>
            <w:r/>
            <w:r>
              <w:rPr>
                <w:rFonts w:ascii="Arial" w:hAnsi="Arial"/>
                <w:b/>
                <w:color w:val="161B26"/>
                <w:sz w:val="18"/>
              </w:rPr>
              <w:t>Questions</w:t>
            </w:r>
          </w:p>
        </w:tc>
        <w:tc>
          <w:tcPr>
            <w:tcW w:type="dxa" w:w="4320"/>
          </w:tcPr>
          <w:p>
            <w:r/>
            <w:r>
              <w:rPr>
                <w:rFonts w:ascii="Arial" w:hAnsi="Arial"/>
                <w:b w:val="0"/>
                <w:color w:val="5B6372"/>
                <w:sz w:val="18"/>
              </w:rPr>
              <w:t>180 (170 scored + 10 pretest)</w:t>
            </w:r>
          </w:p>
        </w:tc>
      </w:tr>
      <w:tr>
        <w:tc>
          <w:tcPr>
            <w:tcW w:type="dxa" w:w="4320"/>
            <w:shd w:val="clear" w:fill="E8F0FE"/>
          </w:tcPr>
          <w:p>
            <w:r/>
            <w:r>
              <w:rPr>
                <w:rFonts w:ascii="Arial" w:hAnsi="Arial"/>
                <w:b/>
                <w:color w:val="161B26"/>
                <w:sz w:val="18"/>
              </w:rPr>
              <w:t>Duration</w:t>
            </w:r>
          </w:p>
        </w:tc>
        <w:tc>
          <w:tcPr>
            <w:tcW w:type="dxa" w:w="4320"/>
          </w:tcPr>
          <w:p>
            <w:r/>
            <w:r>
              <w:rPr>
                <w:rFonts w:ascii="Arial" w:hAnsi="Arial"/>
                <w:b w:val="0"/>
                <w:color w:val="5B6372"/>
                <w:sz w:val="18"/>
              </w:rPr>
              <w:t>240 minutes</w:t>
            </w:r>
          </w:p>
        </w:tc>
      </w:tr>
      <w:tr>
        <w:tc>
          <w:tcPr>
            <w:tcW w:type="dxa" w:w="4320"/>
            <w:shd w:val="clear" w:fill="E8F0FE"/>
          </w:tcPr>
          <w:p>
            <w:r/>
            <w:r>
              <w:rPr>
                <w:rFonts w:ascii="Arial" w:hAnsi="Arial"/>
                <w:b/>
                <w:color w:val="161B26"/>
                <w:sz w:val="18"/>
              </w:rPr>
              <w:t>Breaks</w:t>
            </w:r>
          </w:p>
        </w:tc>
        <w:tc>
          <w:tcPr>
            <w:tcW w:type="dxa" w:w="4320"/>
          </w:tcPr>
          <w:p>
            <w:r/>
            <w:r>
              <w:rPr>
                <w:rFonts w:ascii="Arial" w:hAnsi="Arial"/>
                <w:b w:val="0"/>
                <w:color w:val="5B6372"/>
                <w:sz w:val="18"/>
              </w:rPr>
              <w:t>Two 10-minute breaks — the first after the case-study section, the second midway through the independent questions.</w:t>
            </w:r>
          </w:p>
        </w:tc>
      </w:tr>
      <w:tr>
        <w:tc>
          <w:tcPr>
            <w:tcW w:type="dxa" w:w="4320"/>
            <w:shd w:val="clear" w:fill="E8F0FE"/>
          </w:tcPr>
          <w:p>
            <w:r/>
            <w:r>
              <w:rPr>
                <w:rFonts w:ascii="Arial" w:hAnsi="Arial"/>
                <w:b/>
                <w:color w:val="161B26"/>
                <w:sz w:val="18"/>
              </w:rPr>
              <w:t>Approach mix</w:t>
            </w:r>
          </w:p>
        </w:tc>
        <w:tc>
          <w:tcPr>
            <w:tcW w:type="dxa" w:w="4320"/>
          </w:tcPr>
          <w:p>
            <w:r/>
            <w:r>
              <w:rPr>
                <w:rFonts w:ascii="Arial" w:hAnsi="Arial"/>
                <w:b w:val="0"/>
                <w:color w:val="5B6372"/>
                <w:sz w:val="18"/>
              </w:rPr>
              <w:t>About 40% predictive; the remaining 60% split between adaptive/agile and hybrid.</w:t>
            </w:r>
          </w:p>
        </w:tc>
      </w:tr>
      <w:tr>
        <w:tc>
          <w:tcPr>
            <w:tcW w:type="dxa" w:w="4320"/>
            <w:shd w:val="clear" w:fill="E8F0FE"/>
          </w:tcPr>
          <w:p>
            <w:r/>
            <w:r>
              <w:rPr>
                <w:rFonts w:ascii="Arial" w:hAnsi="Arial"/>
                <w:b/>
                <w:color w:val="161B26"/>
                <w:sz w:val="18"/>
              </w:rPr>
              <w:t>Domains</w:t>
            </w:r>
          </w:p>
        </w:tc>
        <w:tc>
          <w:tcPr>
            <w:tcW w:type="dxa" w:w="4320"/>
          </w:tcPr>
          <w:p>
            <w:r/>
            <w:r>
              <w:rPr>
                <w:rFonts w:ascii="Arial" w:hAnsi="Arial"/>
                <w:b w:val="0"/>
                <w:color w:val="5B6372"/>
                <w:sz w:val="18"/>
              </w:rPr>
              <w:t>People 33% · Process 41% · Business Environment 26%</w:t>
            </w:r>
          </w:p>
        </w:tc>
      </w:tr>
    </w:tbl>
    <w:p>
      <w:pPr>
        <w:pStyle w:val="Heading2"/>
      </w:pPr>
      <w:r>
        <w:t>Question Types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Type</w:t>
            </w:r>
          </w:p>
        </w:tc>
        <w:tc>
          <w:tcPr>
            <w:tcW w:type="dxa" w:w="4320"/>
            <w:shd w:val="clear" w:fill="1F6FEB"/>
          </w:tcPr>
          <w:p>
            <w:r/>
            <w:r>
              <w:rPr>
                <w:rFonts w:ascii="Arial" w:hAnsi="Arial"/>
                <w:b/>
                <w:color w:val="FFFFFF"/>
                <w:sz w:val="19"/>
              </w:rPr>
              <w:t>What it asks of you</w:t>
            </w:r>
          </w:p>
        </w:tc>
      </w:tr>
      <w:tr>
        <w:tc>
          <w:tcPr>
            <w:tcW w:type="dxa" w:w="4320"/>
            <w:shd w:val="clear" w:fill="E8F0FE"/>
          </w:tcPr>
          <w:p>
            <w:r/>
            <w:r>
              <w:rPr>
                <w:rFonts w:ascii="Arial" w:hAnsi="Arial"/>
                <w:b/>
                <w:color w:val="161B26"/>
                <w:sz w:val="18"/>
              </w:rPr>
              <w:t>Multiple choice</w:t>
            </w:r>
          </w:p>
        </w:tc>
        <w:tc>
          <w:tcPr>
            <w:tcW w:type="dxa" w:w="4320"/>
          </w:tcPr>
          <w:p>
            <w:r/>
            <w:r>
              <w:rPr>
                <w:rFonts w:ascii="Arial" w:hAnsi="Arial"/>
                <w:b w:val="0"/>
                <w:color w:val="5B6372"/>
                <w:sz w:val="18"/>
              </w:rPr>
              <w:t>One best answer from four options — the bulk of the exam.</w:t>
            </w:r>
          </w:p>
        </w:tc>
      </w:tr>
      <w:tr>
        <w:tc>
          <w:tcPr>
            <w:tcW w:type="dxa" w:w="4320"/>
            <w:shd w:val="clear" w:fill="E8F0FE"/>
          </w:tcPr>
          <w:p>
            <w:r/>
            <w:r>
              <w:rPr>
                <w:rFonts w:ascii="Arial" w:hAnsi="Arial"/>
                <w:b/>
                <w:color w:val="161B26"/>
                <w:sz w:val="18"/>
              </w:rPr>
              <w:t>Multiple response</w:t>
            </w:r>
          </w:p>
        </w:tc>
        <w:tc>
          <w:tcPr>
            <w:tcW w:type="dxa" w:w="4320"/>
          </w:tcPr>
          <w:p>
            <w:r/>
            <w:r>
              <w:rPr>
                <w:rFonts w:ascii="Arial" w:hAnsi="Arial"/>
                <w:b w:val="0"/>
                <w:color w:val="5B6372"/>
                <w:sz w:val="18"/>
              </w:rPr>
              <w:t>More than one correct answer; the item tells you how many.</w:t>
            </w:r>
          </w:p>
        </w:tc>
      </w:tr>
      <w:tr>
        <w:tc>
          <w:tcPr>
            <w:tcW w:type="dxa" w:w="4320"/>
            <w:shd w:val="clear" w:fill="E8F0FE"/>
          </w:tcPr>
          <w:p>
            <w:r/>
            <w:r>
              <w:rPr>
                <w:rFonts w:ascii="Arial" w:hAnsi="Arial"/>
                <w:b/>
                <w:color w:val="161B26"/>
                <w:sz w:val="18"/>
              </w:rPr>
              <w:t>Matching</w:t>
            </w:r>
          </w:p>
        </w:tc>
        <w:tc>
          <w:tcPr>
            <w:tcW w:type="dxa" w:w="4320"/>
          </w:tcPr>
          <w:p>
            <w:r/>
            <w:r>
              <w:rPr>
                <w:rFonts w:ascii="Arial" w:hAnsi="Arial"/>
                <w:b w:val="0"/>
                <w:color w:val="5B6372"/>
                <w:sz w:val="18"/>
              </w:rPr>
              <w:t>Drag items from one column to match a second column.</w:t>
            </w:r>
          </w:p>
        </w:tc>
      </w:tr>
      <w:tr>
        <w:tc>
          <w:tcPr>
            <w:tcW w:type="dxa" w:w="4320"/>
            <w:shd w:val="clear" w:fill="E8F0FE"/>
          </w:tcPr>
          <w:p>
            <w:r/>
            <w:r>
              <w:rPr>
                <w:rFonts w:ascii="Arial" w:hAnsi="Arial"/>
                <w:b/>
                <w:color w:val="161B26"/>
                <w:sz w:val="18"/>
              </w:rPr>
              <w:t>Enhanced matching</w:t>
            </w:r>
          </w:p>
        </w:tc>
        <w:tc>
          <w:tcPr>
            <w:tcW w:type="dxa" w:w="4320"/>
          </w:tcPr>
          <w:p>
            <w:r/>
            <w:r>
              <w:rPr>
                <w:rFonts w:ascii="Arial" w:hAnsi="Arial"/>
                <w:b w:val="0"/>
                <w:color w:val="5B6372"/>
                <w:sz w:val="18"/>
              </w:rPr>
              <w:t>Matching that includes an image or diagram for context.</w:t>
            </w:r>
          </w:p>
        </w:tc>
      </w:tr>
      <w:tr>
        <w:tc>
          <w:tcPr>
            <w:tcW w:type="dxa" w:w="4320"/>
            <w:shd w:val="clear" w:fill="E8F0FE"/>
          </w:tcPr>
          <w:p>
            <w:r/>
            <w:r>
              <w:rPr>
                <w:rFonts w:ascii="Arial" w:hAnsi="Arial"/>
                <w:b/>
                <w:color w:val="161B26"/>
                <w:sz w:val="18"/>
              </w:rPr>
              <w:t>Graphic-based (NEW)</w:t>
            </w:r>
          </w:p>
        </w:tc>
        <w:tc>
          <w:tcPr>
            <w:tcW w:type="dxa" w:w="4320"/>
          </w:tcPr>
          <w:p>
            <w:r/>
            <w:r>
              <w:rPr>
                <w:rFonts w:ascii="Arial" w:hAnsi="Arial"/>
                <w:b w:val="0"/>
                <w:color w:val="5B6372"/>
                <w:sz w:val="18"/>
              </w:rPr>
              <w:t>Read a chart, graph, diagram or image, then answer from it.</w:t>
            </w:r>
          </w:p>
        </w:tc>
      </w:tr>
      <w:tr>
        <w:tc>
          <w:tcPr>
            <w:tcW w:type="dxa" w:w="4320"/>
            <w:shd w:val="clear" w:fill="E8F0FE"/>
          </w:tcPr>
          <w:p>
            <w:r/>
            <w:r>
              <w:rPr>
                <w:rFonts w:ascii="Arial" w:hAnsi="Arial"/>
                <w:b/>
                <w:color w:val="161B26"/>
                <w:sz w:val="18"/>
              </w:rPr>
              <w:t>Case study</w:t>
            </w:r>
          </w:p>
        </w:tc>
        <w:tc>
          <w:tcPr>
            <w:tcW w:type="dxa" w:w="4320"/>
          </w:tcPr>
          <w:p>
            <w:r/>
            <w:r>
              <w:rPr>
                <w:rFonts w:ascii="Arial" w:hAnsi="Arial"/>
                <w:b w:val="0"/>
                <w:color w:val="5B6372"/>
                <w:sz w:val="18"/>
              </w:rPr>
              <w:t>A scenario with supporting visuals, then a series of linked questions.</w:t>
            </w:r>
          </w:p>
        </w:tc>
      </w:tr>
    </w:tbl>
    <w:p>
      <w:pPr>
        <w:pStyle w:val="Heading2"/>
      </w:pPr>
      <w:r>
        <w:t>Formula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Formula</w:t>
            </w:r>
          </w:p>
        </w:tc>
        <w:tc>
          <w:tcPr>
            <w:tcW w:type="dxa" w:w="2880"/>
            <w:shd w:val="clear" w:fill="1F6FEB"/>
          </w:tcPr>
          <w:p>
            <w:r/>
            <w:r>
              <w:rPr>
                <w:rFonts w:ascii="Arial" w:hAnsi="Arial"/>
                <w:b/>
                <w:color w:val="FFFFFF"/>
                <w:sz w:val="19"/>
              </w:rPr>
              <w:t>Expression</w:t>
            </w:r>
          </w:p>
        </w:tc>
        <w:tc>
          <w:tcPr>
            <w:tcW w:type="dxa" w:w="2880"/>
            <w:shd w:val="clear" w:fill="1F6FEB"/>
          </w:tcPr>
          <w:p>
            <w:r/>
            <w:r>
              <w:rPr>
                <w:rFonts w:ascii="Arial" w:hAnsi="Arial"/>
                <w:b/>
                <w:color w:val="FFFFFF"/>
                <w:sz w:val="19"/>
              </w:rPr>
              <w:t>Reading</w:t>
            </w:r>
          </w:p>
        </w:tc>
      </w:tr>
      <w:tr>
        <w:tc>
          <w:tcPr>
            <w:tcW w:type="dxa" w:w="2880"/>
            <w:shd w:val="clear" w:fill="E8F0FE"/>
          </w:tcPr>
          <w:p>
            <w:r/>
            <w:r>
              <w:rPr>
                <w:rFonts w:ascii="Arial" w:hAnsi="Arial"/>
                <w:b/>
                <w:color w:val="161B26"/>
                <w:sz w:val="18"/>
              </w:rPr>
              <w:t>Cost variance</w:t>
            </w:r>
          </w:p>
        </w:tc>
        <w:tc>
          <w:tcPr>
            <w:tcW w:type="dxa" w:w="2880"/>
          </w:tcPr>
          <w:p>
            <w:r/>
            <w:r>
              <w:rPr>
                <w:rFonts w:ascii="Arial" w:hAnsi="Arial"/>
                <w:b w:val="0"/>
                <w:color w:val="5B6372"/>
                <w:sz w:val="18"/>
              </w:rPr>
              <w:t>CV = EV − AC</w:t>
            </w:r>
          </w:p>
        </w:tc>
        <w:tc>
          <w:tcPr>
            <w:tcW w:type="dxa" w:w="2880"/>
          </w:tcPr>
          <w:p>
            <w:r/>
            <w:r>
              <w:rPr>
                <w:rFonts w:ascii="Arial" w:hAnsi="Arial"/>
                <w:b w:val="0"/>
                <w:color w:val="5B6372"/>
                <w:sz w:val="18"/>
              </w:rPr>
              <w:t>Positive is under budget</w:t>
            </w:r>
          </w:p>
        </w:tc>
      </w:tr>
      <w:tr>
        <w:tc>
          <w:tcPr>
            <w:tcW w:type="dxa" w:w="2880"/>
            <w:shd w:val="clear" w:fill="E8F0FE"/>
          </w:tcPr>
          <w:p>
            <w:r/>
            <w:r>
              <w:rPr>
                <w:rFonts w:ascii="Arial" w:hAnsi="Arial"/>
                <w:b/>
                <w:color w:val="161B26"/>
                <w:sz w:val="18"/>
              </w:rPr>
              <w:t>Schedule variance</w:t>
            </w:r>
          </w:p>
        </w:tc>
        <w:tc>
          <w:tcPr>
            <w:tcW w:type="dxa" w:w="2880"/>
          </w:tcPr>
          <w:p>
            <w:r/>
            <w:r>
              <w:rPr>
                <w:rFonts w:ascii="Arial" w:hAnsi="Arial"/>
                <w:b w:val="0"/>
                <w:color w:val="5B6372"/>
                <w:sz w:val="18"/>
              </w:rPr>
              <w:t>SV = EV − PV</w:t>
            </w:r>
          </w:p>
        </w:tc>
        <w:tc>
          <w:tcPr>
            <w:tcW w:type="dxa" w:w="2880"/>
          </w:tcPr>
          <w:p>
            <w:r/>
            <w:r>
              <w:rPr>
                <w:rFonts w:ascii="Arial" w:hAnsi="Arial"/>
                <w:b w:val="0"/>
                <w:color w:val="5B6372"/>
                <w:sz w:val="18"/>
              </w:rPr>
              <w:t>Positive is ahead of schedule</w:t>
            </w:r>
          </w:p>
        </w:tc>
      </w:tr>
      <w:tr>
        <w:tc>
          <w:tcPr>
            <w:tcW w:type="dxa" w:w="2880"/>
            <w:shd w:val="clear" w:fill="E8F0FE"/>
          </w:tcPr>
          <w:p>
            <w:r/>
            <w:r>
              <w:rPr>
                <w:rFonts w:ascii="Arial" w:hAnsi="Arial"/>
                <w:b/>
                <w:color w:val="161B26"/>
                <w:sz w:val="18"/>
              </w:rPr>
              <w:t>Cost performance index</w:t>
            </w:r>
          </w:p>
        </w:tc>
        <w:tc>
          <w:tcPr>
            <w:tcW w:type="dxa" w:w="2880"/>
          </w:tcPr>
          <w:p>
            <w:r/>
            <w:r>
              <w:rPr>
                <w:rFonts w:ascii="Arial" w:hAnsi="Arial"/>
                <w:b w:val="0"/>
                <w:color w:val="5B6372"/>
                <w:sz w:val="18"/>
              </w:rPr>
              <w:t>CPI = EV / AC</w:t>
            </w:r>
          </w:p>
        </w:tc>
        <w:tc>
          <w:tcPr>
            <w:tcW w:type="dxa" w:w="2880"/>
          </w:tcPr>
          <w:p>
            <w:r/>
            <w:r>
              <w:rPr>
                <w:rFonts w:ascii="Arial" w:hAnsi="Arial"/>
                <w:b w:val="0"/>
                <w:color w:val="5B6372"/>
                <w:sz w:val="18"/>
              </w:rPr>
              <w:t>Above 1.0 is under budget</w:t>
            </w:r>
          </w:p>
        </w:tc>
      </w:tr>
      <w:tr>
        <w:tc>
          <w:tcPr>
            <w:tcW w:type="dxa" w:w="2880"/>
            <w:shd w:val="clear" w:fill="E8F0FE"/>
          </w:tcPr>
          <w:p>
            <w:r/>
            <w:r>
              <w:rPr>
                <w:rFonts w:ascii="Arial" w:hAnsi="Arial"/>
                <w:b/>
                <w:color w:val="161B26"/>
                <w:sz w:val="18"/>
              </w:rPr>
              <w:t>Schedule performance index</w:t>
            </w:r>
          </w:p>
        </w:tc>
        <w:tc>
          <w:tcPr>
            <w:tcW w:type="dxa" w:w="2880"/>
          </w:tcPr>
          <w:p>
            <w:r/>
            <w:r>
              <w:rPr>
                <w:rFonts w:ascii="Arial" w:hAnsi="Arial"/>
                <w:b w:val="0"/>
                <w:color w:val="5B6372"/>
                <w:sz w:val="18"/>
              </w:rPr>
              <w:t>SPI = EV / PV</w:t>
            </w:r>
          </w:p>
        </w:tc>
        <w:tc>
          <w:tcPr>
            <w:tcW w:type="dxa" w:w="2880"/>
          </w:tcPr>
          <w:p>
            <w:r/>
            <w:r>
              <w:rPr>
                <w:rFonts w:ascii="Arial" w:hAnsi="Arial"/>
                <w:b w:val="0"/>
                <w:color w:val="5B6372"/>
                <w:sz w:val="18"/>
              </w:rPr>
              <w:t>Above 1.0 is ahead</w:t>
            </w:r>
          </w:p>
        </w:tc>
      </w:tr>
      <w:tr>
        <w:tc>
          <w:tcPr>
            <w:tcW w:type="dxa" w:w="2880"/>
            <w:shd w:val="clear" w:fill="E8F0FE"/>
          </w:tcPr>
          <w:p>
            <w:r/>
            <w:r>
              <w:rPr>
                <w:rFonts w:ascii="Arial" w:hAnsi="Arial"/>
                <w:b/>
                <w:color w:val="161B26"/>
                <w:sz w:val="18"/>
              </w:rPr>
              <w:t>Estimate at completion</w:t>
            </w:r>
          </w:p>
        </w:tc>
        <w:tc>
          <w:tcPr>
            <w:tcW w:type="dxa" w:w="2880"/>
          </w:tcPr>
          <w:p>
            <w:r/>
            <w:r>
              <w:rPr>
                <w:rFonts w:ascii="Arial" w:hAnsi="Arial"/>
                <w:b w:val="0"/>
                <w:color w:val="5B6372"/>
                <w:sz w:val="18"/>
              </w:rPr>
              <w:t>EAC = BAC / CPI</w:t>
            </w:r>
          </w:p>
        </w:tc>
        <w:tc>
          <w:tcPr>
            <w:tcW w:type="dxa" w:w="2880"/>
          </w:tcPr>
          <w:p>
            <w:r/>
            <w:r>
              <w:rPr>
                <w:rFonts w:ascii="Arial" w:hAnsi="Arial"/>
                <w:b w:val="0"/>
                <w:color w:val="5B6372"/>
                <w:sz w:val="18"/>
              </w:rPr>
              <w:t>When current variance is expected to continue</w:t>
            </w:r>
          </w:p>
        </w:tc>
      </w:tr>
      <w:tr>
        <w:tc>
          <w:tcPr>
            <w:tcW w:type="dxa" w:w="2880"/>
            <w:shd w:val="clear" w:fill="E8F0FE"/>
          </w:tcPr>
          <w:p>
            <w:r/>
            <w:r>
              <w:rPr>
                <w:rFonts w:ascii="Arial" w:hAnsi="Arial"/>
                <w:b/>
                <w:color w:val="161B26"/>
                <w:sz w:val="18"/>
              </w:rPr>
              <w:t>Estimate to complete</w:t>
            </w:r>
          </w:p>
        </w:tc>
        <w:tc>
          <w:tcPr>
            <w:tcW w:type="dxa" w:w="2880"/>
          </w:tcPr>
          <w:p>
            <w:r/>
            <w:r>
              <w:rPr>
                <w:rFonts w:ascii="Arial" w:hAnsi="Arial"/>
                <w:b w:val="0"/>
                <w:color w:val="5B6372"/>
                <w:sz w:val="18"/>
              </w:rPr>
              <w:t>ETC = EAC − AC</w:t>
            </w:r>
          </w:p>
        </w:tc>
        <w:tc>
          <w:tcPr>
            <w:tcW w:type="dxa" w:w="2880"/>
          </w:tcPr>
          <w:p>
            <w:r/>
            <w:r>
              <w:rPr>
                <w:rFonts w:ascii="Arial" w:hAnsi="Arial"/>
                <w:b w:val="0"/>
                <w:color w:val="5B6372"/>
                <w:sz w:val="18"/>
              </w:rPr>
              <w:t>Remaining expected cost</w:t>
            </w:r>
          </w:p>
        </w:tc>
      </w:tr>
      <w:tr>
        <w:tc>
          <w:tcPr>
            <w:tcW w:type="dxa" w:w="2880"/>
            <w:shd w:val="clear" w:fill="E8F0FE"/>
          </w:tcPr>
          <w:p>
            <w:r/>
            <w:r>
              <w:rPr>
                <w:rFonts w:ascii="Arial" w:hAnsi="Arial"/>
                <w:b/>
                <w:color w:val="161B26"/>
                <w:sz w:val="18"/>
              </w:rPr>
              <w:t>Variance at completion</w:t>
            </w:r>
          </w:p>
        </w:tc>
        <w:tc>
          <w:tcPr>
            <w:tcW w:type="dxa" w:w="2880"/>
          </w:tcPr>
          <w:p>
            <w:r/>
            <w:r>
              <w:rPr>
                <w:rFonts w:ascii="Arial" w:hAnsi="Arial"/>
                <w:b w:val="0"/>
                <w:color w:val="5B6372"/>
                <w:sz w:val="18"/>
              </w:rPr>
              <w:t>VAC = BAC − EAC</w:t>
            </w:r>
          </w:p>
        </w:tc>
        <w:tc>
          <w:tcPr>
            <w:tcW w:type="dxa" w:w="2880"/>
          </w:tcPr>
          <w:p>
            <w:r/>
            <w:r>
              <w:rPr>
                <w:rFonts w:ascii="Arial" w:hAnsi="Arial"/>
                <w:b w:val="0"/>
                <w:color w:val="5B6372"/>
                <w:sz w:val="18"/>
              </w:rPr>
              <w:t>Forecast budget variance</w:t>
            </w:r>
          </w:p>
        </w:tc>
      </w:tr>
      <w:tr>
        <w:tc>
          <w:tcPr>
            <w:tcW w:type="dxa" w:w="2880"/>
            <w:shd w:val="clear" w:fill="E8F0FE"/>
          </w:tcPr>
          <w:p>
            <w:r/>
            <w:r>
              <w:rPr>
                <w:rFonts w:ascii="Arial" w:hAnsi="Arial"/>
                <w:b/>
                <w:color w:val="161B26"/>
                <w:sz w:val="18"/>
              </w:rPr>
              <w:t>To-complete performance index</w:t>
            </w:r>
          </w:p>
        </w:tc>
        <w:tc>
          <w:tcPr>
            <w:tcW w:type="dxa" w:w="2880"/>
          </w:tcPr>
          <w:p>
            <w:r/>
            <w:r>
              <w:rPr>
                <w:rFonts w:ascii="Arial" w:hAnsi="Arial"/>
                <w:b w:val="0"/>
                <w:color w:val="5B6372"/>
                <w:sz w:val="18"/>
              </w:rPr>
              <w:t>TCPI = (BAC − EV) / (BAC − AC)</w:t>
            </w:r>
          </w:p>
        </w:tc>
        <w:tc>
          <w:tcPr>
            <w:tcW w:type="dxa" w:w="2880"/>
          </w:tcPr>
          <w:p>
            <w:r/>
            <w:r>
              <w:rPr>
                <w:rFonts w:ascii="Arial" w:hAnsi="Arial"/>
                <w:b w:val="0"/>
                <w:color w:val="5B6372"/>
                <w:sz w:val="18"/>
              </w:rPr>
              <w:t>Efficiency needed to finish on budget</w:t>
            </w:r>
          </w:p>
        </w:tc>
      </w:tr>
      <w:tr>
        <w:tc>
          <w:tcPr>
            <w:tcW w:type="dxa" w:w="2880"/>
            <w:shd w:val="clear" w:fill="E8F0FE"/>
          </w:tcPr>
          <w:p>
            <w:r/>
            <w:r>
              <w:rPr>
                <w:rFonts w:ascii="Arial" w:hAnsi="Arial"/>
                <w:b/>
                <w:color w:val="161B26"/>
                <w:sz w:val="18"/>
              </w:rPr>
              <w:t>Three-point (PERT)</w:t>
            </w:r>
          </w:p>
        </w:tc>
        <w:tc>
          <w:tcPr>
            <w:tcW w:type="dxa" w:w="2880"/>
          </w:tcPr>
          <w:p>
            <w:r/>
            <w:r>
              <w:rPr>
                <w:rFonts w:ascii="Arial" w:hAnsi="Arial"/>
                <w:b w:val="0"/>
                <w:color w:val="5B6372"/>
                <w:sz w:val="18"/>
              </w:rPr>
              <w:t>(O + 4M + P) / 6</w:t>
            </w:r>
          </w:p>
        </w:tc>
        <w:tc>
          <w:tcPr>
            <w:tcW w:type="dxa" w:w="2880"/>
          </w:tcPr>
          <w:p>
            <w:r/>
            <w:r>
              <w:rPr>
                <w:rFonts w:ascii="Arial" w:hAnsi="Arial"/>
                <w:b w:val="0"/>
                <w:color w:val="5B6372"/>
                <w:sz w:val="18"/>
              </w:rPr>
              <w:t>Weighted average estimate</w:t>
            </w:r>
          </w:p>
        </w:tc>
      </w:tr>
      <w:tr>
        <w:tc>
          <w:tcPr>
            <w:tcW w:type="dxa" w:w="2880"/>
            <w:shd w:val="clear" w:fill="E8F0FE"/>
          </w:tcPr>
          <w:p>
            <w:r/>
            <w:r>
              <w:rPr>
                <w:rFonts w:ascii="Arial" w:hAnsi="Arial"/>
                <w:b/>
                <w:color w:val="161B26"/>
                <w:sz w:val="18"/>
              </w:rPr>
              <w:t>PERT standard deviation</w:t>
            </w:r>
          </w:p>
        </w:tc>
        <w:tc>
          <w:tcPr>
            <w:tcW w:type="dxa" w:w="2880"/>
          </w:tcPr>
          <w:p>
            <w:r/>
            <w:r>
              <w:rPr>
                <w:rFonts w:ascii="Arial" w:hAnsi="Arial"/>
                <w:b w:val="0"/>
                <w:color w:val="5B6372"/>
                <w:sz w:val="18"/>
              </w:rPr>
              <w:t>(P − O) / 6</w:t>
            </w:r>
          </w:p>
        </w:tc>
        <w:tc>
          <w:tcPr>
            <w:tcW w:type="dxa" w:w="2880"/>
          </w:tcPr>
          <w:p>
            <w:r/>
            <w:r>
              <w:rPr>
                <w:rFonts w:ascii="Arial" w:hAnsi="Arial"/>
                <w:b w:val="0"/>
                <w:color w:val="5B6372"/>
                <w:sz w:val="18"/>
              </w:rPr>
              <w:t>Estimate uncertainty</w:t>
            </w:r>
          </w:p>
        </w:tc>
      </w:tr>
      <w:tr>
        <w:tc>
          <w:tcPr>
            <w:tcW w:type="dxa" w:w="2880"/>
            <w:shd w:val="clear" w:fill="E8F0FE"/>
          </w:tcPr>
          <w:p>
            <w:r/>
            <w:r>
              <w:rPr>
                <w:rFonts w:ascii="Arial" w:hAnsi="Arial"/>
                <w:b/>
                <w:color w:val="161B26"/>
                <w:sz w:val="18"/>
              </w:rPr>
              <w:t>Expected monetary value</w:t>
            </w:r>
          </w:p>
        </w:tc>
        <w:tc>
          <w:tcPr>
            <w:tcW w:type="dxa" w:w="2880"/>
          </w:tcPr>
          <w:p>
            <w:r/>
            <w:r>
              <w:rPr>
                <w:rFonts w:ascii="Arial" w:hAnsi="Arial"/>
                <w:b w:val="0"/>
                <w:color w:val="5B6372"/>
                <w:sz w:val="18"/>
              </w:rPr>
              <w:t>EMV = probability × impact</w:t>
            </w:r>
          </w:p>
        </w:tc>
        <w:tc>
          <w:tcPr>
            <w:tcW w:type="dxa" w:w="2880"/>
          </w:tcPr>
          <w:p>
            <w:r/>
            <w:r>
              <w:rPr>
                <w:rFonts w:ascii="Arial" w:hAnsi="Arial"/>
                <w:b w:val="0"/>
                <w:color w:val="5B6372"/>
                <w:sz w:val="18"/>
              </w:rPr>
              <w:t>Summed across outcomes</w:t>
            </w:r>
          </w:p>
        </w:tc>
      </w:tr>
      <w:tr>
        <w:tc>
          <w:tcPr>
            <w:tcW w:type="dxa" w:w="2880"/>
            <w:shd w:val="clear" w:fill="E8F0FE"/>
          </w:tcPr>
          <w:p>
            <w:r/>
            <w:r>
              <w:rPr>
                <w:rFonts w:ascii="Arial" w:hAnsi="Arial"/>
                <w:b/>
                <w:color w:val="161B26"/>
                <w:sz w:val="18"/>
              </w:rPr>
              <w:t>Communication channels</w:t>
            </w:r>
          </w:p>
        </w:tc>
        <w:tc>
          <w:tcPr>
            <w:tcW w:type="dxa" w:w="2880"/>
          </w:tcPr>
          <w:p>
            <w:r/>
            <w:r>
              <w:rPr>
                <w:rFonts w:ascii="Arial" w:hAnsi="Arial"/>
                <w:b w:val="0"/>
                <w:color w:val="5B6372"/>
                <w:sz w:val="18"/>
              </w:rPr>
              <w:t>N(N − 1) / 2</w:t>
            </w:r>
          </w:p>
        </w:tc>
        <w:tc>
          <w:tcPr>
            <w:tcW w:type="dxa" w:w="2880"/>
          </w:tcPr>
          <w:p>
            <w:r/>
            <w:r>
              <w:rPr>
                <w:rFonts w:ascii="Arial" w:hAnsi="Arial"/>
                <w:b w:val="0"/>
                <w:color w:val="5B6372"/>
                <w:sz w:val="18"/>
              </w:rPr>
              <w:t>Grows quadratically</w:t>
            </w:r>
          </w:p>
        </w:tc>
      </w:tr>
    </w:tbl>
    <w:p>
      <w:pPr>
        <w:pStyle w:val="Heading2"/>
      </w:pPr>
      <w:r>
        <w:t>Study Plan After the Course</w:t>
      </w:r>
    </w:p>
    <w:p>
      <w:pPr>
        <w:pStyle w:val="ListNumber"/>
      </w:pPr>
      <w:r>
        <w:rPr>
          <w:rFonts w:ascii="Arial" w:hAnsi="Arial"/>
          <w:sz w:val="22"/>
        </w:rPr>
        <w:t>Week 1-2: Re-read this guide topic by topic and redo the labs on a project of your own.</w:t>
      </w:r>
    </w:p>
    <w:p>
      <w:pPr>
        <w:pStyle w:val="ListNumber"/>
      </w:pPr>
      <w:r>
        <w:rPr>
          <w:rFonts w:ascii="Arial" w:hAnsi="Arial"/>
          <w:sz w:val="22"/>
        </w:rPr>
        <w:t>Week 3-4: Drill practice questions by domain, weighting your time Process 41%, People 33%, Business Environment 26%.</w:t>
      </w:r>
    </w:p>
    <w:p>
      <w:pPr>
        <w:pStyle w:val="ListNumber"/>
      </w:pPr>
      <w:r>
        <w:rPr>
          <w:rFonts w:ascii="Arial" w:hAnsi="Arial"/>
          <w:sz w:val="22"/>
        </w:rPr>
        <w:t>Week 5-6: Practise the graphic-based and case-study question types specifically — they behave differently from plain multiple choice.</w:t>
      </w:r>
    </w:p>
    <w:p>
      <w:pPr>
        <w:pStyle w:val="ListNumber"/>
      </w:pPr>
      <w:r>
        <w:rPr>
          <w:rFonts w:ascii="Arial" w:hAnsi="Arial"/>
          <w:sz w:val="22"/>
        </w:rPr>
        <w:t>Week 7-8: Sit at least three full 180-question mock exams under timed conditions, reviewing every wrong answer to its underlying concept.</w:t>
      </w:r>
    </w:p>
    <w:p>
      <w:pPr>
        <w:pStyle w:val="ListNumber"/>
      </w:pPr>
      <w:r>
        <w:rPr>
          <w:rFonts w:ascii="Arial" w:hAnsi="Arial"/>
          <w:sz w:val="22"/>
        </w:rPr>
        <w:t>Submit your PMI application, logging this course's 30 contact hours and topping up the remaining 5 hours of project management education.</w:t>
      </w:r>
    </w:p>
    <w:sectPr w:rsidR="00FC693F" w:rsidRPr="0006063C" w:rsidSect="00034616">
      <w:footerReference w:type="default" r:id="rId11"/>
      <w:headerReference w:type="default" r:id="rId12"/>
      <w:footerReference w:type="even" r:id="rId13"/>
      <w:footerReference w:type="first" r:id="rId14"/>
      <w:headerReference w:type="even" r:id="rId15"/>
      <w:headerReference w:type="firs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2.xml"/><Relationship Id="rId16"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