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PESTLE and TECOP External Environment Scan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PESTLE and TECOP External Environment Scan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PESTLE letter (P, E, S, T, L, E) has at least one factor; a scan missing a category is not a PESTLE scan.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score is the product of impact and likelihood, and you can state both numbers for any factor.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TECOP table surfaced at least one factor that does not appear anywhere in your PESTLE table. If the two tables are identical, you used PESTLE twice.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factor scoring 16+ has a named destination artifact in a later lab - not a vague "monitor".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cadence names an owner, a frequency, and at least three out-of-cycle triggers.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In Scenario 1 you chose B and can explain why "add to risk register and continue" is wrong for an event that has already happened.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PESTLE letter (P, E, S, T, L, E) has at least one factor; a scan missing a category is not a PESTLE scan.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