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2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PESTLE and TECOP External Environment Scan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LO4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1 - Business Environment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run a structured PESTLE scan of the environment surrounding the Contoso Training Portal Upgrade.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pestle scan, tecop scan, backlog impacts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Laptop with internet access for the live problem-solving tools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Read the environment briefing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and score the PESTLE table. Create artifacts/02-pestle-scan.md. For each of the six categories, record at least one factor. Score impact 1-5 and likelihood 1-5, then compute Score = Impact x Likelihood.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Run the TECOP scan. PESTLE looks outward at the market. TECOP looks at the *risk dimensions of the project itself* and catches things PESTLE misses - particularly operational and organisational exposure.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Have one group present a single row rather than the whole artifact — depth over coverage.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Rank and take the vital few. Combine both tables, sort by score descending, and take everything scoring 16 or above.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Translate factors into scope and backlog consequences. This is the step most people skip, and it is the step the ECO actually assesses. A scan that changes nothing is decoration. Create artifacts/02-backlog-impacts.md: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Set the review cadence. ECO Business Env T8 says "*continually* review the external business environment for impacts". Define who looks, when, and what triggers an out-of-cycle review.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If a group finishes early, ask what changes at twice the scale or half the budget.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11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75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Run a structured PESTLE scan of the environment surrounding the Contoso Training Portal Upgrade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Run a TECOP scan to surface risk dimensions PESTLE tends to miss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Score each factor for impact and likelihood, and rank them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Every PESTLE letter (P, E, S, T, L, E) has at least one factor; a scan missing a category is not a PESTLE scan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pestle and tecop external environment scan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PESTLE letter (P, E, S, T, L, E) has at least one factor; a scan missing a category is not a PESTLE scan.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score is the product of impact and likelihood, and you can state both numbers for any factor.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TECOP table surfaced at least one factor that does not appear anywhere in your PESTLE table. If the two tables are identical, you used PESTLE twice.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factor scoring 16+ has a named destination artifact in a later lab - not a vague "monitor".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cadence names an owner, a frequency, and at least three out-of-cycle triggers.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In Scenario 1 you chose B and can explain why "add to risk register and continue" is wrong for an event that has already happened.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