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3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EEF/OPA Inventory, Governance and Escalation Thresholds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LO5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1 - Business Environment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EEF/OPA Inventory, Governance and Escalation Thresholds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No item appears in both your EEF and OPA lists, and you can state the "must I obey it / can I reuse it" test for any row.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escalation threshold has a number and a time limit. If any row says "significant" or "major" without a figure, it is not finished.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governance body has an explicit "cannot decide" entry - governance is defined as much by limits as by powers.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success metric has a baseline value, not just a target. A target without a baseline cannot be shown to have been met.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In the routing exercise you classified the resigned developer as an issue (it has happened) and the possible early API retirement as a risk (it has not).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can explain why a change request never starts work before the decision.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No item appears in both your EEF and OPA lists, and you can state the "must I obey it / can I reuse it" test for any row.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