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3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EEF/OPA Inventory, Governance and Escalation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eef opa inventory, governance model, escalation thresholds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02 PESTLE/TECOP scan and ranked factor list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Inventory the Contoso EEFs. Create artifacts/03-eef-opa-inventory.md. Classify each item as internal or external, and state the constraint it imposes.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Inventory the Contoso OPAs. The key move: pull one *specific* item from OPA-03. From the lessons-learned repository, the prior portal project recorded: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Design the governance model. Create artifacts/03-governance-model.md. Governance answers four questions: who decides, on what, how often, and against what measure.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Define success metrics. ECO Business Env T1 explicitly includes "Define success metrics". Vague metrics are not governance. Each metric needs a baseline, a target, a measurement method and an owner.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numeric escalation thresholds. The ECO enabler is "Outline governance escalation paths and thresholds". A threshold without a number is not a threshold. Create artifacts/03-escalation-thresholds.md: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Separate the change path from the issue path. These are different processes and the exam tests whether you know which one applies.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Inventory the Contoso EEFs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Inventory the Contoso OPAs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Design the governance model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Define success metrics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Set numeric escalation thresholds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Separate the change path from the issue path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03-eef-opa-inventory.md - at least 12 EEFs and 10 OPAs, each classified and with its constraint or use stated.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specific lesson you extracted from the lessons-learned repository and where it changes your plan.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03-governance-model.md - decision bodies with membership, decision rights, cadence, and explicit "cannot decide" limits; plus the three stage gates with entry criteria.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success metrics table, every row with a baseline, target, method and owner.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03-escalation-thresholds.md - numeric thresholds for cost, schedule, change, risk, compliance and impediments.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completed change/issue/risk routing exercise.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