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678"/>
      </w:tblGrid>
      <w:tr>
        <w:tc>
          <w:tcPr>
            <w:tcW w:type="dxa" w:w="9678"/>
            <w:shd w:val="clear" w:fill="1F6FEB"/>
          </w:tcPr>
          <w:p>
            <w:pPr>
              <w:spacing w:after="0" w:before="0"/>
              <w:jc w:val="center"/>
            </w:pPr>
            <w:r/>
            <w:r>
              <w:rPr>
                <w:rFonts w:ascii="Arial" w:hAnsi="Arial"/>
                <w:b/>
                <w:color w:val="FFFFFF"/>
                <w:sz w:val="20"/>
              </w:rPr>
              <w:t>Tertiary Infotech Academy Pte Ltd</w:t>
            </w:r>
          </w:p>
        </w:tc>
      </w:tr>
    </w:tbl>
    <w:p>
      <w:pPr>
        <w:spacing w:after="40" w:before="0"/>
      </w:pPr>
      <w:r>
        <w:rPr>
          <w:rFonts w:ascii="Arial" w:hAnsi="Arial"/>
          <w:b/>
          <w:i w:val="0"/>
          <w:color w:val="1F6FEB"/>
          <w:sz w:val="24"/>
        </w:rPr>
        <w:t>ACTIVITY 4 — FACILITATOR GUIDE</w:t>
      </w:r>
    </w:p>
    <w:p>
      <w:pPr>
        <w:spacing w:after="40" w:before="0"/>
      </w:pPr>
      <w:r>
        <w:rPr>
          <w:rFonts w:ascii="Arial" w:hAnsi="Arial"/>
          <w:b/>
          <w:i w:val="0"/>
          <w:color w:val="111827"/>
          <w:sz w:val="30"/>
        </w:rPr>
        <w:t>Compliance, Sustainability and AI-Governance Register</w:t>
      </w:r>
    </w:p>
    <w:tbl>
      <w:tblPr>
        <w:tblW w:type="auto" w:w="0"/>
        <w:jc w:val="center"/>
        <w:tblLook w:firstColumn="1" w:firstRow="1" w:lastColumn="0" w:lastRow="0" w:noHBand="0" w:noVBand="1" w:val="04A0"/>
      </w:tblPr>
      <w:tblGrid>
        <w:gridCol w:w="2419"/>
        <w:gridCol w:w="2419"/>
        <w:gridCol w:w="2419"/>
        <w:gridCol w:w="2419"/>
      </w:tblGrid>
      <w:tr>
        <w:tc>
          <w:tcPr>
            <w:tcW w:type="dxa" w:w="2419"/>
            <w:shd w:val="clear" w:fill="F5F8FC"/>
          </w:tcPr>
          <w:p>
            <w:pPr>
              <w:spacing w:after="0" w:before="0"/>
            </w:pPr>
            <w:r/>
            <w:r>
              <w:rPr>
                <w:rFonts w:ascii="Arial" w:hAnsi="Arial"/>
                <w:b/>
                <w:color w:val="1F6FEB"/>
                <w:sz w:val="15"/>
              </w:rPr>
              <w:t>TYPE</w:t>
            </w:r>
          </w:p>
          <w:p>
            <w:pPr>
              <w:spacing w:after="0" w:before="0"/>
            </w:pPr>
            <w:r>
              <w:rPr>
                <w:rFonts w:ascii="Arial" w:hAnsi="Arial"/>
                <w:b w:val="0"/>
                <w:color w:val="1F6FEB"/>
                <w:sz w:val="15"/>
              </w:rPr>
              <w:t>Workshop</w:t>
            </w:r>
          </w:p>
        </w:tc>
        <w:tc>
          <w:tcPr>
            <w:tcW w:type="dxa" w:w="2419"/>
            <w:shd w:val="clear" w:fill="F5F8FC"/>
          </w:tcPr>
          <w:p>
            <w:pPr>
              <w:spacing w:after="0" w:before="0"/>
            </w:pPr>
            <w:r/>
            <w:r>
              <w:rPr>
                <w:rFonts w:ascii="Arial" w:hAnsi="Arial"/>
                <w:b/>
                <w:color w:val="1F6FEB"/>
                <w:sz w:val="15"/>
              </w:rPr>
              <w:t>DURATION</w:t>
            </w:r>
          </w:p>
          <w:p>
            <w:pPr>
              <w:spacing w:after="0" w:before="0"/>
            </w:pPr>
            <w:r>
              <w:rPr>
                <w:rFonts w:ascii="Arial" w:hAnsi="Arial"/>
                <w:b w:val="0"/>
                <w:color w:val="1F6FEB"/>
                <w:sz w:val="15"/>
              </w:rPr>
              <w:t>75 minutes</w:t>
            </w:r>
          </w:p>
        </w:tc>
        <w:tc>
          <w:tcPr>
            <w:tcW w:type="dxa" w:w="2419"/>
            <w:shd w:val="clear" w:fill="F5F8FC"/>
          </w:tcPr>
          <w:p>
            <w:pPr>
              <w:spacing w:after="0" w:before="0"/>
            </w:pPr>
            <w:r/>
            <w:r>
              <w:rPr>
                <w:rFonts w:ascii="Arial" w:hAnsi="Arial"/>
                <w:b/>
                <w:color w:val="1F6FEB"/>
                <w:sz w:val="15"/>
              </w:rPr>
              <w:t>MAPS TO</w:t>
            </w:r>
          </w:p>
          <w:p>
            <w:pPr>
              <w:spacing w:after="0" w:before="0"/>
            </w:pPr>
            <w:r>
              <w:rPr>
                <w:rFonts w:ascii="Arial" w:hAnsi="Arial"/>
                <w:b w:val="0"/>
                <w:color w:val="1F6FEB"/>
                <w:sz w:val="15"/>
              </w:rPr>
              <w:t>LO4</w:t>
            </w:r>
          </w:p>
        </w:tc>
        <w:tc>
          <w:tcPr>
            <w:tcW w:type="dxa" w:w="2419"/>
            <w:shd w:val="clear" w:fill="F5F8FC"/>
          </w:tcPr>
          <w:p>
            <w:pPr>
              <w:spacing w:after="0" w:before="0"/>
            </w:pPr>
            <w:r/>
            <w:r>
              <w:rPr>
                <w:rFonts w:ascii="Arial" w:hAnsi="Arial"/>
                <w:b/>
                <w:color w:val="1F6FEB"/>
                <w:sz w:val="15"/>
              </w:rPr>
              <w:t>TOPIC</w:t>
            </w:r>
          </w:p>
          <w:p>
            <w:pPr>
              <w:spacing w:after="0" w:before="0"/>
            </w:pPr>
            <w:r>
              <w:rPr>
                <w:rFonts w:ascii="Arial" w:hAnsi="Arial"/>
                <w:b w:val="0"/>
                <w:color w:val="1F6FEB"/>
                <w:sz w:val="15"/>
              </w:rPr>
              <w:t>1 - Business Environment</w:t>
            </w:r>
          </w:p>
        </w:tc>
      </w:tr>
    </w:tbl>
    <w:p>
      <w:pPr>
        <w:spacing w:after="40" w:before="0"/>
      </w:pPr>
    </w:p>
    <w:p>
      <w:pPr>
        <w:spacing w:before="280" w:after="100"/>
      </w:pPr>
      <w:r>
        <w:rPr>
          <w:rFonts w:ascii="Arial" w:hAnsi="Arial"/>
          <w:b/>
          <w:color w:val="111827"/>
          <w:sz w:val="26"/>
        </w:rPr>
        <w:t>Purpose of this activity</w:t>
      </w:r>
    </w:p>
    <w:p>
      <w:pPr>
        <w:spacing w:after="120" w:before="0"/>
      </w:pPr>
      <w:r>
        <w:rPr>
          <w:rFonts w:ascii="Arial" w:hAnsi="Arial"/>
          <w:b w:val="0"/>
          <w:i w:val="0"/>
          <w:color w:val="111827"/>
          <w:sz w:val="21"/>
        </w:rPr>
        <w:t>By the end of this activity learners will be able to classify Contoso's compliance requirements into categories and identify the threats to each.</w:t>
      </w:r>
    </w:p>
    <w:p>
      <w:pPr>
        <w:spacing w:before="280" w:after="100"/>
      </w:pPr>
      <w:r>
        <w:rPr>
          <w:rFonts w:ascii="Arial" w:hAnsi="Arial"/>
          <w:b/>
          <w:color w:val="111827"/>
          <w:sz w:val="26"/>
        </w:rPr>
        <w:t>What learners produce</w:t>
      </w:r>
    </w:p>
    <w:p>
      <w:pPr>
        <w:spacing w:after="120" w:before="0"/>
      </w:pPr>
      <w:r>
        <w:rPr>
          <w:rFonts w:ascii="Arial" w:hAnsi="Arial"/>
          <w:b w:val="0"/>
          <w:i w:val="0"/>
          <w:color w:val="111827"/>
          <w:sz w:val="21"/>
        </w:rPr>
        <w:t>compliance register, sustainability plan, ai governance — submitted to artifacts/.</w:t>
      </w:r>
    </w:p>
    <w:p>
      <w:pPr>
        <w:spacing w:before="280" w:after="100"/>
      </w:pPr>
      <w:r>
        <w:rPr>
          <w:rFonts w:ascii="Arial" w:hAnsi="Arial"/>
          <w:b/>
          <w:color w:val="111827"/>
          <w:sz w:val="26"/>
        </w:rPr>
        <w:t>Materials required</w:t>
      </w:r>
    </w:p>
    <w:p>
      <w:pPr>
        <w:pStyle w:val="ListBullet"/>
        <w:spacing w:after="40" w:before="0"/>
      </w:pPr>
      <w:r>
        <w:rPr>
          <w:rFonts w:ascii="Arial" w:hAnsi="Arial"/>
          <w:b w:val="0"/>
          <w:i w:val="0"/>
          <w:color w:val="111827"/>
          <w:sz w:val="21"/>
        </w:rPr>
        <w:t>Learner Worksheet (one per learner)</w:t>
      </w:r>
    </w:p>
    <w:p>
      <w:pPr>
        <w:pStyle w:val="ListBullet"/>
        <w:spacing w:after="40" w:before="0"/>
      </w:pPr>
      <w:r>
        <w:rPr>
          <w:rFonts w:ascii="Arial" w:hAnsi="Arial"/>
          <w:b w:val="0"/>
          <w:i w:val="0"/>
          <w:color w:val="111827"/>
          <w:sz w:val="21"/>
        </w:rPr>
        <w:t>Checklist (one per group)</w:t>
      </w:r>
    </w:p>
    <w:p>
      <w:pPr>
        <w:pStyle w:val="ListBullet"/>
        <w:spacing w:after="40" w:before="0"/>
      </w:pPr>
      <w:r>
        <w:rPr>
          <w:rFonts w:ascii="Arial" w:hAnsi="Arial"/>
          <w:b w:val="0"/>
          <w:i w:val="0"/>
          <w:color w:val="111827"/>
          <w:sz w:val="21"/>
        </w:rPr>
        <w:t>The Project Management Templates pack (see the Activities folder)</w:t>
      </w:r>
    </w:p>
    <w:p>
      <w:pPr>
        <w:pStyle w:val="ListBullet"/>
        <w:spacing w:after="40" w:before="0"/>
      </w:pPr>
      <w:r>
        <w:rPr>
          <w:rFonts w:ascii="Arial" w:hAnsi="Arial"/>
          <w:b w:val="0"/>
          <w:i w:val="0"/>
          <w:color w:val="111827"/>
          <w:sz w:val="21"/>
        </w:rPr>
        <w:t>Laptop with internet access for the live problem-solving tools</w:t>
      </w:r>
    </w:p>
    <w:p>
      <w:pPr>
        <w:pStyle w:val="ListBullet"/>
        <w:spacing w:after="40" w:before="0"/>
      </w:pPr>
      <w:r>
        <w:rPr>
          <w:rFonts w:ascii="Arial" w:hAnsi="Arial"/>
          <w:b w:val="0"/>
          <w:i w:val="0"/>
          <w:color w:val="111827"/>
          <w:sz w:val="21"/>
        </w:rPr>
        <w:t>The course slides for the framework and worked example</w:t>
      </w:r>
    </w:p>
    <w:p>
      <w:pPr>
        <w:spacing w:before="280" w:after="100"/>
      </w:pPr>
      <w:r>
        <w:rPr>
          <w:rFonts w:ascii="Arial" w:hAnsi="Arial"/>
          <w:b/>
          <w:color w:val="111827"/>
          <w:sz w:val="26"/>
        </w:rPr>
        <w:t>Set-up</w:t>
      </w:r>
    </w:p>
    <w:p>
      <w:pPr>
        <w:spacing w:after="120" w:before="0"/>
      </w:pPr>
      <w:r>
        <w:rPr>
          <w:rFonts w:ascii="Arial" w:hAnsi="Arial"/>
          <w:b w:val="0"/>
          <w:i w:val="0"/>
          <w:color w:val="111827"/>
          <w:sz w:val="21"/>
        </w:rPr>
        <w:t>Groups of 3 to 4. Distribute one worksheet per learner and one checklist per group; each group needs one laptop for the calculations.</w:t>
      </w:r>
    </w:p>
    <w:p>
      <w:pPr>
        <w:spacing w:before="280" w:after="100"/>
      </w:pPr>
      <w:r>
        <w:rPr>
          <w:rFonts w:ascii="Arial" w:hAnsi="Arial"/>
          <w:b/>
          <w:color w:val="111827"/>
          <w:sz w:val="26"/>
        </w:rPr>
        <w:t>Scenario / briefing material</w:t>
      </w:r>
    </w:p>
    <w:p>
      <w:pPr>
        <w:spacing w:after="120" w:before="0"/>
      </w:pPr>
      <w:r>
        <w:rPr>
          <w:rFonts w:ascii="Arial" w:hAnsi="Arial"/>
          <w:b w:val="0"/>
          <w:i w:val="0"/>
          <w:color w:val="111827"/>
          <w:sz w:val="21"/>
        </w:rPr>
        <w:t>Contoso Learning Pte Ltd is a training provider with 14,000 active learners. Its course registration portal is 9 years old. Registration takes a median of 11 minutes and 34% of attempts are abandoned. Learner communications consume 24 staff-hours per week across 3 administrators. 62% of learner traffic is mobile, against a portal that is not responsive. Legacy consent screens do not meet current PDPA requirements. The project modernises course registration and learner communications.</w:t>
      </w:r>
    </w:p>
    <w:p>
      <w:pPr>
        <w:spacing w:before="280" w:after="100"/>
      </w:pPr>
      <w:r>
        <w:rPr>
          <w:rFonts w:ascii="Arial" w:hAnsi="Arial"/>
          <w:b/>
          <w:color w:val="111827"/>
          <w:sz w:val="26"/>
        </w:rPr>
        <w:t>How to run it — step by step</w:t>
      </w:r>
    </w:p>
    <w:tbl>
      <w:tblPr>
        <w:tblW w:type="auto" w:w="0"/>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576"/>
        <w:gridCol w:w="4752"/>
        <w:gridCol w:w="3888"/>
      </w:tblGrid>
      <w:tr>
        <w:tc>
          <w:tcPr>
            <w:tcW w:type="dxa" w:w="3226"/>
            <w:shd w:val="clear" w:fill="1F6FEB"/>
          </w:tcPr>
          <w:p>
            <w:pPr>
              <w:spacing w:after="0" w:before="0"/>
            </w:pPr>
            <w:r/>
            <w:r>
              <w:rPr>
                <w:rFonts w:ascii="Arial" w:hAnsi="Arial"/>
                <w:b/>
                <w:color w:val="FFFFFF"/>
                <w:sz w:val="18"/>
              </w:rPr>
              <w:t>#</w:t>
            </w:r>
          </w:p>
        </w:tc>
        <w:tc>
          <w:tcPr>
            <w:tcW w:type="dxa" w:w="3226"/>
            <w:shd w:val="clear" w:fill="1F6FEB"/>
          </w:tcPr>
          <w:p>
            <w:pPr>
              <w:spacing w:after="0" w:before="0"/>
            </w:pPr>
            <w:r/>
            <w:r>
              <w:rPr>
                <w:rFonts w:ascii="Arial" w:hAnsi="Arial"/>
                <w:b/>
                <w:color w:val="FFFFFF"/>
                <w:sz w:val="18"/>
              </w:rPr>
              <w:t>Instruction to learners</w:t>
            </w:r>
          </w:p>
        </w:tc>
        <w:tc>
          <w:tcPr>
            <w:tcW w:type="dxa" w:w="3226"/>
            <w:shd w:val="clear" w:fill="1F6FEB"/>
          </w:tcPr>
          <w:p>
            <w:pPr>
              <w:spacing w:after="0" w:before="0"/>
            </w:pPr>
            <w:r/>
            <w:r>
              <w:rPr>
                <w:rFonts w:ascii="Arial" w:hAnsi="Arial"/>
                <w:b/>
                <w:color w:val="FFFFFF"/>
                <w:sz w:val="18"/>
              </w:rPr>
              <w:t>Facilitator note</w:t>
            </w:r>
          </w:p>
        </w:tc>
      </w:tr>
      <w:tr>
        <w:tc>
          <w:tcPr>
            <w:tcW w:type="dxa" w:w="576"/>
          </w:tcPr>
          <w:p>
            <w:pPr>
              <w:spacing w:after="0" w:before="0"/>
            </w:pPr>
            <w:r/>
            <w:r>
              <w:rPr>
                <w:rFonts w:ascii="Arial" w:hAnsi="Arial"/>
                <w:b/>
                <w:color w:val="1F6FEB"/>
                <w:sz w:val="18"/>
              </w:rPr>
              <w:t>1</w:t>
            </w:r>
          </w:p>
        </w:tc>
        <w:tc>
          <w:tcPr>
            <w:tcW w:type="dxa" w:w="4752"/>
          </w:tcPr>
          <w:p>
            <w:pPr>
              <w:spacing w:after="0" w:before="0"/>
            </w:pPr>
            <w:r/>
            <w:r>
              <w:rPr>
                <w:rFonts w:ascii="Arial" w:hAnsi="Arial"/>
                <w:b w:val="0"/>
                <w:color w:val="111827"/>
                <w:sz w:val="18"/>
              </w:rPr>
              <w:t>Confirm the compliance requirements. Create artifacts/04-compliance-register.md. Categorise every requirement. The ECO names four categories explicitly: security, health and safety, sustainability, and regulatory.</w:t>
            </w:r>
          </w:p>
        </w:tc>
        <w:tc>
          <w:tcPr>
            <w:tcW w:type="dxa" w:w="3888"/>
          </w:tcPr>
          <w:p>
            <w:pPr>
              <w:spacing w:after="0" w:before="0"/>
            </w:pPr>
            <w:r/>
            <w:r>
              <w:rPr>
                <w:rFonts w:ascii="Arial" w:hAnsi="Arial"/>
                <w:b w:val="0"/>
                <w:color w:val="555F6D"/>
                <w:sz w:val="18"/>
              </w:rPr>
              <w:t>Keep role-holders in role; learners drift to consensus. Push for the concern behind the stated position.</w:t>
            </w:r>
          </w:p>
        </w:tc>
      </w:tr>
      <w:tr>
        <w:tc>
          <w:tcPr>
            <w:tcW w:type="dxa" w:w="576"/>
          </w:tcPr>
          <w:p>
            <w:pPr>
              <w:spacing w:after="0" w:before="0"/>
            </w:pPr>
            <w:r/>
            <w:r>
              <w:rPr>
                <w:rFonts w:ascii="Arial" w:hAnsi="Arial"/>
                <w:b/>
                <w:color w:val="1F6FEB"/>
                <w:sz w:val="18"/>
              </w:rPr>
              <w:t>2</w:t>
            </w:r>
          </w:p>
        </w:tc>
        <w:tc>
          <w:tcPr>
            <w:tcW w:type="dxa" w:w="4752"/>
          </w:tcPr>
          <w:p>
            <w:pPr>
              <w:spacing w:after="0" w:before="0"/>
            </w:pPr>
            <w:r/>
            <w:r>
              <w:rPr>
                <w:rFonts w:ascii="Arial" w:hAnsi="Arial"/>
                <w:b w:val="0"/>
                <w:color w:val="111827"/>
                <w:sz w:val="18"/>
              </w:rPr>
              <w:t>Identify threats to compliance. For the highest-stakes requirements, name what could actually cause a failure. This is what makes the register useful rather than a checklist.</w:t>
            </w:r>
          </w:p>
        </w:tc>
        <w:tc>
          <w:tcPr>
            <w:tcW w:type="dxa" w:w="3888"/>
          </w:tcPr>
          <w:p>
            <w:pPr>
              <w:spacing w:after="0" w:before="0"/>
            </w:pPr>
            <w:r/>
            <w:r>
              <w:rPr>
                <w:rFonts w:ascii="Arial" w:hAnsi="Arial"/>
                <w:b w:val="0"/>
                <w:color w:val="555F6D"/>
                <w:sz w:val="18"/>
              </w:rPr>
              <w:t>Insist on individual listing before pooling, or the loudest voice sets the whole list.</w:t>
            </w:r>
          </w:p>
        </w:tc>
      </w:tr>
      <w:tr>
        <w:tc>
          <w:tcPr>
            <w:tcW w:type="dxa" w:w="576"/>
          </w:tcPr>
          <w:p>
            <w:pPr>
              <w:spacing w:after="0" w:before="0"/>
            </w:pPr>
            <w:r/>
            <w:r>
              <w:rPr>
                <w:rFonts w:ascii="Arial" w:hAnsi="Arial"/>
                <w:b/>
                <w:color w:val="1F6FEB"/>
                <w:sz w:val="18"/>
              </w:rPr>
              <w:t>3</w:t>
            </w:r>
          </w:p>
        </w:tc>
        <w:tc>
          <w:tcPr>
            <w:tcW w:type="dxa" w:w="4752"/>
          </w:tcPr>
          <w:p>
            <w:pPr>
              <w:spacing w:after="0" w:before="0"/>
            </w:pPr>
            <w:r/>
            <w:r>
              <w:rPr>
                <w:rFonts w:ascii="Arial" w:hAnsi="Arial"/>
                <w:b w:val="0"/>
                <w:color w:val="111827"/>
                <w:sz w:val="18"/>
              </w:rPr>
              <w:t>Analyse the consequences of noncompliance. The ECO enabler is "Analyze the consequences of noncompliance". Quantify where you can, because this is how compliance work wins prioritisation arguments against feature work.</w:t>
            </w:r>
          </w:p>
        </w:tc>
        <w:tc>
          <w:tcPr>
            <w:tcW w:type="dxa" w:w="3888"/>
          </w:tcPr>
          <w:p>
            <w:pPr>
              <w:spacing w:after="0" w:before="0"/>
            </w:pPr>
            <w:r/>
            <w:r>
              <w:rPr>
                <w:rFonts w:ascii="Arial" w:hAnsi="Arial"/>
                <w:b w:val="0"/>
                <w:color w:val="555F6D"/>
                <w:sz w:val="18"/>
              </w:rPr>
              <w:t>Ask what the number would have to be before the decision flips. That is the exam's favourite question.</w:t>
            </w:r>
          </w:p>
        </w:tc>
      </w:tr>
      <w:tr>
        <w:tc>
          <w:tcPr>
            <w:tcW w:type="dxa" w:w="576"/>
          </w:tcPr>
          <w:p>
            <w:pPr>
              <w:spacing w:after="0" w:before="0"/>
            </w:pPr>
            <w:r/>
            <w:r>
              <w:rPr>
                <w:rFonts w:ascii="Arial" w:hAnsi="Arial"/>
                <w:b/>
                <w:color w:val="1F6FEB"/>
                <w:sz w:val="18"/>
              </w:rPr>
              <w:t>4</w:t>
            </w:r>
          </w:p>
        </w:tc>
        <w:tc>
          <w:tcPr>
            <w:tcW w:type="dxa" w:w="4752"/>
          </w:tcPr>
          <w:p>
            <w:pPr>
              <w:spacing w:after="0" w:before="0"/>
            </w:pPr>
            <w:r/>
            <w:r>
              <w:rPr>
                <w:rFonts w:ascii="Arial" w:hAnsi="Arial"/>
                <w:b w:val="0"/>
                <w:color w:val="111827"/>
                <w:sz w:val="18"/>
              </w:rPr>
              <w:t>Decide the approach and actions. For each requirement, state the method that supports compliance - the ECO enabler "Use methods to support compliance".</w:t>
            </w:r>
          </w:p>
        </w:tc>
        <w:tc>
          <w:tcPr>
            <w:tcW w:type="dxa" w:w="3888"/>
          </w:tcPr>
          <w:p>
            <w:pPr>
              <w:spacing w:after="0" w:before="0"/>
            </w:pPr>
            <w:r/>
            <w:r>
              <w:rPr>
                <w:rFonts w:ascii="Arial" w:hAnsi="Arial"/>
                <w:b w:val="0"/>
                <w:color w:val="555F6D"/>
                <w:sz w:val="18"/>
              </w:rPr>
              <w:t>The trace is the learning, not the artifact. Ask a group to walk one line end to end aloud.</w:t>
            </w:r>
          </w:p>
        </w:tc>
      </w:tr>
      <w:tr>
        <w:tc>
          <w:tcPr>
            <w:tcW w:type="dxa" w:w="576"/>
          </w:tcPr>
          <w:p>
            <w:pPr>
              <w:spacing w:after="0" w:before="0"/>
            </w:pPr>
            <w:r/>
            <w:r>
              <w:rPr>
                <w:rFonts w:ascii="Arial" w:hAnsi="Arial"/>
                <w:b/>
                <w:color w:val="1F6FEB"/>
                <w:sz w:val="18"/>
              </w:rPr>
              <w:t>5</w:t>
            </w:r>
          </w:p>
        </w:tc>
        <w:tc>
          <w:tcPr>
            <w:tcW w:type="dxa" w:w="4752"/>
          </w:tcPr>
          <w:p>
            <w:pPr>
              <w:spacing w:after="0" w:before="0"/>
            </w:pPr>
            <w:r/>
            <w:r>
              <w:rPr>
                <w:rFonts w:ascii="Arial" w:hAnsi="Arial"/>
                <w:b w:val="0"/>
                <w:color w:val="111827"/>
                <w:sz w:val="18"/>
              </w:rPr>
              <w:t>Define how compliance is measured. The final ECO enabler: "Measure the extent to which the project is in compliance". Define a compliance index you can actually report.</w:t>
            </w:r>
          </w:p>
        </w:tc>
        <w:tc>
          <w:tcPr>
            <w:tcW w:type="dxa" w:w="3888"/>
          </w:tcPr>
          <w:p>
            <w:pPr>
              <w:spacing w:after="0" w:before="0"/>
            </w:pPr>
            <w:r/>
            <w:r>
              <w:rPr>
                <w:rFonts w:ascii="Arial" w:hAnsi="Arial"/>
                <w:b w:val="0"/>
                <w:color w:val="555F6D"/>
                <w:sz w:val="18"/>
              </w:rPr>
              <w:t>Circulate and ask each group to justify one entry against the case study facts.</w:t>
            </w:r>
          </w:p>
        </w:tc>
      </w:tr>
      <w:tr>
        <w:tc>
          <w:tcPr>
            <w:tcW w:type="dxa" w:w="576"/>
          </w:tcPr>
          <w:p>
            <w:pPr>
              <w:spacing w:after="0" w:before="0"/>
            </w:pPr>
            <w:r/>
            <w:r>
              <w:rPr>
                <w:rFonts w:ascii="Arial" w:hAnsi="Arial"/>
                <w:b/>
                <w:color w:val="1F6FEB"/>
                <w:sz w:val="18"/>
              </w:rPr>
              <w:t>6</w:t>
            </w:r>
          </w:p>
        </w:tc>
        <w:tc>
          <w:tcPr>
            <w:tcW w:type="dxa" w:w="4752"/>
          </w:tcPr>
          <w:p>
            <w:pPr>
              <w:spacing w:after="0" w:before="0"/>
            </w:pPr>
            <w:r/>
            <w:r>
              <w:rPr>
                <w:rFonts w:ascii="Arial" w:hAnsi="Arial"/>
                <w:b w:val="0"/>
                <w:color w:val="111827"/>
                <w:sz w:val="18"/>
              </w:rPr>
              <w:t>Build the sustainability section. Create artifacts/04-sustainability-plan.md. Sustainability appears in both Process T7 ("Manage cost of quality and sustainability") and Business Env T2. Cover all three dimensions, not only carbon.</w:t>
            </w:r>
          </w:p>
        </w:tc>
        <w:tc>
          <w:tcPr>
            <w:tcW w:type="dxa" w:w="3888"/>
          </w:tcPr>
          <w:p>
            <w:pPr>
              <w:spacing w:after="0" w:before="0"/>
            </w:pPr>
            <w:r/>
            <w:r>
              <w:rPr>
                <w:rFonts w:ascii="Arial" w:hAnsi="Arial"/>
                <w:b w:val="0"/>
                <w:color w:val="555F6D"/>
                <w:sz w:val="18"/>
              </w:rPr>
              <w:t>If a group finishes early, ask what changes at twice the scale or half the budget.</w:t>
            </w:r>
          </w:p>
        </w:tc>
      </w:tr>
      <w:tr>
        <w:tc>
          <w:tcPr>
            <w:tcW w:type="dxa" w:w="576"/>
          </w:tcPr>
          <w:p>
            <w:pPr>
              <w:spacing w:after="0" w:before="0"/>
            </w:pPr>
            <w:r/>
            <w:r>
              <w:rPr>
                <w:rFonts w:ascii="Arial" w:hAnsi="Arial"/>
                <w:b/>
                <w:color w:val="1F6FEB"/>
                <w:sz w:val="18"/>
              </w:rPr>
              <w:t>7</w:t>
            </w:r>
          </w:p>
        </w:tc>
        <w:tc>
          <w:tcPr>
            <w:tcW w:type="dxa" w:w="4752"/>
          </w:tcPr>
          <w:p>
            <w:pPr>
              <w:spacing w:after="0" w:before="0"/>
            </w:pPr>
            <w:r/>
            <w:r>
              <w:rPr>
                <w:rFonts w:ascii="Arial" w:hAnsi="Arial"/>
                <w:b w:val="0"/>
                <w:color w:val="111827"/>
                <w:sz w:val="18"/>
              </w:rPr>
              <w:t>Build the AI-governance register. Contoso will not build the AI recommender in this release (Lab 02 ranked it below the mobile work), but two AI uses are already in play. The July 2026 ECO expects AI use to be governed, not assumed.</w:t>
            </w:r>
          </w:p>
        </w:tc>
        <w:tc>
          <w:tcPr>
            <w:tcW w:type="dxa" w:w="3888"/>
          </w:tcPr>
          <w:p>
            <w:pPr>
              <w:spacing w:after="0" w:before="0"/>
            </w:pPr>
            <w:r/>
            <w:r>
              <w:rPr>
                <w:rFonts w:ascii="Arial" w:hAnsi="Arial"/>
                <w:b w:val="0"/>
                <w:color w:val="555F6D"/>
                <w:sz w:val="18"/>
              </w:rPr>
              <w:t>Have one group present a single row rather than the whole artifact — depth over coverage.</w:t>
            </w:r>
          </w:p>
        </w:tc>
      </w:tr>
      <w:tr>
        <w:tc>
          <w:tcPr>
            <w:tcW w:type="dxa" w:w="576"/>
          </w:tcPr>
          <w:p>
            <w:pPr>
              <w:spacing w:after="0" w:before="0"/>
            </w:pPr>
            <w:r/>
            <w:r>
              <w:rPr>
                <w:rFonts w:ascii="Arial" w:hAnsi="Arial"/>
                <w:b/>
                <w:color w:val="1F6FEB"/>
                <w:sz w:val="18"/>
              </w:rPr>
              <w:t>8</w:t>
            </w:r>
          </w:p>
        </w:tc>
        <w:tc>
          <w:tcPr>
            <w:tcW w:type="dxa" w:w="4752"/>
          </w:tcPr>
          <w:p>
            <w:pPr>
              <w:spacing w:after="0" w:before="0"/>
            </w:pPr>
            <w:r/>
            <w:r>
              <w:rPr>
                <w:rFonts w:ascii="Arial" w:hAnsi="Arial"/>
                <w:b w:val="0"/>
                <w:color w:val="111827"/>
                <w:sz w:val="18"/>
              </w:rPr>
              <w:t>Answer the exam-style scenarios</w:t>
            </w:r>
          </w:p>
        </w:tc>
        <w:tc>
          <w:tcPr>
            <w:tcW w:type="dxa" w:w="3888"/>
          </w:tcPr>
          <w:p>
            <w:pPr>
              <w:spacing w:after="0" w:before="0"/>
            </w:pPr>
            <w:r/>
            <w:r>
              <w:rPr>
                <w:rFonts w:ascii="Arial" w:hAnsi="Arial"/>
                <w:b w:val="0"/>
                <w:color w:val="555F6D"/>
                <w:sz w:val="18"/>
              </w:rPr>
              <w:t>Insist on individual listing before pooling, or the loudest voice sets the whole list.</w:t>
            </w:r>
          </w:p>
        </w:tc>
      </w:tr>
    </w:tbl>
    <w:p>
      <w:pPr>
        <w:spacing w:before="280" w:after="100"/>
      </w:pPr>
      <w:r>
        <w:rPr>
          <w:rFonts w:ascii="Arial" w:hAnsi="Arial"/>
          <w:b/>
          <w:color w:val="111827"/>
          <w:sz w:val="26"/>
        </w:rPr>
        <w:t>Suggested timing</w:t>
      </w:r>
    </w:p>
    <w:tbl>
      <w:tblPr>
        <w:tblW w:type="auto" w:w="0"/>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296"/>
        <w:gridCol w:w="7776"/>
      </w:tblGrid>
      <w:tr>
        <w:tc>
          <w:tcPr>
            <w:tcW w:type="dxa" w:w="4839"/>
            <w:shd w:val="clear" w:fill="1F6FEB"/>
          </w:tcPr>
          <w:p>
            <w:pPr>
              <w:spacing w:after="0" w:before="0"/>
            </w:pPr>
            <w:r/>
            <w:r>
              <w:rPr>
                <w:rFonts w:ascii="Arial" w:hAnsi="Arial"/>
                <w:b/>
                <w:color w:val="FFFFFF"/>
                <w:sz w:val="18"/>
              </w:rPr>
              <w:t>Minutes</w:t>
            </w:r>
          </w:p>
        </w:tc>
        <w:tc>
          <w:tcPr>
            <w:tcW w:type="dxa" w:w="4839"/>
            <w:shd w:val="clear" w:fill="1F6FEB"/>
          </w:tcPr>
          <w:p>
            <w:pPr>
              <w:spacing w:after="0" w:before="0"/>
            </w:pPr>
            <w:r/>
            <w:r>
              <w:rPr>
                <w:rFonts w:ascii="Arial" w:hAnsi="Arial"/>
                <w:b/>
                <w:color w:val="FFFFFF"/>
                <w:sz w:val="18"/>
              </w:rPr>
              <w:t>Phase</w:t>
            </w:r>
          </w:p>
        </w:tc>
      </w:tr>
      <w:tr>
        <w:tc>
          <w:tcPr>
            <w:tcW w:type="dxa" w:w="1296"/>
          </w:tcPr>
          <w:p>
            <w:pPr>
              <w:spacing w:after="0" w:before="0"/>
            </w:pPr>
            <w:r/>
            <w:r>
              <w:rPr>
                <w:rFonts w:ascii="Arial" w:hAnsi="Arial"/>
                <w:b/>
                <w:color w:val="1F6FEB"/>
                <w:sz w:val="18"/>
              </w:rPr>
              <w:t>8 min</w:t>
            </w:r>
          </w:p>
        </w:tc>
        <w:tc>
          <w:tcPr>
            <w:tcW w:type="dxa" w:w="7776"/>
          </w:tcPr>
          <w:p>
            <w:pPr>
              <w:spacing w:after="0" w:before="0"/>
            </w:pPr>
            <w:r/>
            <w:r>
              <w:rPr>
                <w:rFonts w:ascii="Arial" w:hAnsi="Arial"/>
                <w:b w:val="0"/>
                <w:color w:val="111827"/>
                <w:sz w:val="18"/>
              </w:rPr>
              <w:t>Brief the scenario, confirm the inputs and assign roles</w:t>
            </w:r>
          </w:p>
        </w:tc>
      </w:tr>
      <w:tr>
        <w:tc>
          <w:tcPr>
            <w:tcW w:type="dxa" w:w="1296"/>
          </w:tcPr>
          <w:p>
            <w:pPr>
              <w:spacing w:after="0" w:before="0"/>
            </w:pPr>
            <w:r/>
            <w:r>
              <w:rPr>
                <w:rFonts w:ascii="Arial" w:hAnsi="Arial"/>
                <w:b/>
                <w:color w:val="1F6FEB"/>
                <w:sz w:val="18"/>
              </w:rPr>
              <w:t>28 min</w:t>
            </w:r>
          </w:p>
        </w:tc>
        <w:tc>
          <w:tcPr>
            <w:tcW w:type="dxa" w:w="7776"/>
          </w:tcPr>
          <w:p>
            <w:pPr>
              <w:spacing w:after="0" w:before="0"/>
            </w:pPr>
            <w:r/>
            <w:r>
              <w:rPr>
                <w:rFonts w:ascii="Arial" w:hAnsi="Arial"/>
                <w:b w:val="0"/>
                <w:color w:val="111827"/>
                <w:sz w:val="18"/>
              </w:rPr>
              <w:t>Work the first half of the steps individually, then pool as a group</w:t>
            </w:r>
          </w:p>
        </w:tc>
      </w:tr>
      <w:tr>
        <w:tc>
          <w:tcPr>
            <w:tcW w:type="dxa" w:w="1296"/>
          </w:tcPr>
          <w:p>
            <w:pPr>
              <w:spacing w:after="0" w:before="0"/>
            </w:pPr>
            <w:r/>
            <w:r>
              <w:rPr>
                <w:rFonts w:ascii="Arial" w:hAnsi="Arial"/>
                <w:b/>
                <w:color w:val="1F6FEB"/>
                <w:sz w:val="18"/>
              </w:rPr>
              <w:t>28 min</w:t>
            </w:r>
          </w:p>
        </w:tc>
        <w:tc>
          <w:tcPr>
            <w:tcW w:type="dxa" w:w="7776"/>
          </w:tcPr>
          <w:p>
            <w:pPr>
              <w:spacing w:after="0" w:before="0"/>
            </w:pPr>
            <w:r/>
            <w:r>
              <w:rPr>
                <w:rFonts w:ascii="Arial" w:hAnsi="Arial"/>
                <w:b w:val="0"/>
                <w:color w:val="111827"/>
                <w:sz w:val="18"/>
              </w:rPr>
              <w:t>Complete the remaining steps and finalise the deliverable</w:t>
            </w:r>
          </w:p>
        </w:tc>
      </w:tr>
      <w:tr>
        <w:tc>
          <w:tcPr>
            <w:tcW w:type="dxa" w:w="1296"/>
          </w:tcPr>
          <w:p>
            <w:pPr>
              <w:spacing w:after="0" w:before="0"/>
            </w:pPr>
            <w:r/>
            <w:r>
              <w:rPr>
                <w:rFonts w:ascii="Arial" w:hAnsi="Arial"/>
                <w:b/>
                <w:color w:val="1F6FEB"/>
                <w:sz w:val="18"/>
              </w:rPr>
              <w:t>11 min</w:t>
            </w:r>
          </w:p>
        </w:tc>
        <w:tc>
          <w:tcPr>
            <w:tcW w:type="dxa" w:w="7776"/>
          </w:tcPr>
          <w:p>
            <w:pPr>
              <w:spacing w:after="0" w:before="0"/>
            </w:pPr>
            <w:r/>
            <w:r>
              <w:rPr>
                <w:rFonts w:ascii="Arial" w:hAnsi="Arial"/>
                <w:b w:val="0"/>
                <w:color w:val="111827"/>
                <w:sz w:val="18"/>
              </w:rPr>
              <w:t>Group share-back, facilitator debrief and exam-style linkage</w:t>
            </w:r>
          </w:p>
        </w:tc>
      </w:tr>
    </w:tbl>
    <w:p>
      <w:pPr>
        <w:spacing w:after="120" w:before="120"/>
      </w:pPr>
      <w:r>
        <w:rPr>
          <w:rFonts w:ascii="Arial" w:hAnsi="Arial"/>
          <w:b/>
          <w:i w:val="0"/>
          <w:color w:val="111827"/>
          <w:sz w:val="21"/>
        </w:rPr>
        <w:t>Total: 75 minutes</w:t>
      </w:r>
    </w:p>
    <w:p>
      <w:pPr>
        <w:spacing w:before="280" w:after="100"/>
      </w:pPr>
      <w:r>
        <w:rPr>
          <w:rFonts w:ascii="Arial" w:hAnsi="Arial"/>
          <w:b/>
          <w:color w:val="111827"/>
          <w:sz w:val="26"/>
        </w:rPr>
        <w:t>Discussion &amp; decision prompts</w:t>
      </w:r>
    </w:p>
    <w:p>
      <w:pPr>
        <w:pStyle w:val="ListNumber"/>
        <w:spacing w:after="60" w:before="0"/>
      </w:pPr>
      <w:r>
        <w:rPr>
          <w:rFonts w:ascii="Arial" w:hAnsi="Arial"/>
          <w:b w:val="0"/>
          <w:i w:val="0"/>
          <w:color w:val="111827"/>
          <w:sz w:val="21"/>
        </w:rPr>
        <w:t>Classify Contoso's compliance requirements into categories and identify the threats to each — how did your group decide, and what would change that decision?</w:t>
      </w:r>
    </w:p>
    <w:p>
      <w:pPr>
        <w:pStyle w:val="ListNumber"/>
        <w:spacing w:after="60" w:before="0"/>
      </w:pPr>
      <w:r>
        <w:rPr>
          <w:rFonts w:ascii="Arial" w:hAnsi="Arial"/>
          <w:b w:val="0"/>
          <w:i w:val="0"/>
          <w:color w:val="111827"/>
          <w:sz w:val="21"/>
        </w:rPr>
        <w:t>Quantify the consequences of noncompliance so compliance work can be prioritised against other work — how did your group decide, and what would change that decision?</w:t>
      </w:r>
    </w:p>
    <w:p>
      <w:pPr>
        <w:pStyle w:val="ListNumber"/>
        <w:spacing w:after="60" w:before="0"/>
      </w:pPr>
      <w:r>
        <w:rPr>
          <w:rFonts w:ascii="Arial" w:hAnsi="Arial"/>
          <w:b w:val="0"/>
          <w:i w:val="0"/>
          <w:color w:val="111827"/>
          <w:sz w:val="21"/>
        </w:rPr>
        <w:t>Define how compliance will be *measured*, not merely asserted — how did your group decide, and what would change that decision?</w:t>
      </w:r>
    </w:p>
    <w:p>
      <w:pPr>
        <w:pStyle w:val="ListNumber"/>
        <w:spacing w:after="60" w:before="0"/>
      </w:pPr>
      <w:r>
        <w:rPr>
          <w:rFonts w:ascii="Arial" w:hAnsi="Arial"/>
          <w:b w:val="0"/>
          <w:i w:val="0"/>
          <w:color w:val="111827"/>
          <w:sz w:val="21"/>
        </w:rPr>
        <w:t>Your register covers all four ECO compliance categories. If every row says "regulatory", you have not classified anything — can every member of your group defend it?</w:t>
      </w:r>
    </w:p>
    <w:p>
      <w:pPr>
        <w:pStyle w:val="ListNumber"/>
        <w:spacing w:after="60" w:before="0"/>
      </w:pPr>
      <w:r>
        <w:rPr>
          <w:rFonts w:ascii="Arial" w:hAnsi="Arial"/>
          <w:b w:val="0"/>
          <w:i w:val="0"/>
          <w:color w:val="111827"/>
          <w:sz w:val="21"/>
        </w:rPr>
        <w:t>Where would compliance, sustainability and ai-governance register have saved you time or money on a real project you have worked on?</w:t>
      </w:r>
    </w:p>
    <w:p>
      <w:pPr>
        <w:spacing w:before="280" w:after="100"/>
      </w:pPr>
      <w:r>
        <w:rPr>
          <w:rFonts w:ascii="Arial" w:hAnsi="Arial"/>
          <w:b/>
          <w:color w:val="111827"/>
          <w:sz w:val="26"/>
        </w:rPr>
        <w:t>What good looks like</w:t>
      </w:r>
    </w:p>
    <w:p>
      <w:pPr>
        <w:pStyle w:val="ListBullet"/>
        <w:spacing w:after="40" w:before="0"/>
      </w:pPr>
      <w:r>
        <w:rPr>
          <w:rFonts w:ascii="Arial" w:hAnsi="Arial"/>
          <w:b w:val="0"/>
          <w:i w:val="0"/>
          <w:color w:val="111827"/>
          <w:sz w:val="21"/>
        </w:rPr>
        <w:t>Your register covers all four ECO compliance categories. If every row says "regulatory", you have not classified anything.</w:t>
      </w:r>
    </w:p>
    <w:p>
      <w:pPr>
        <w:pStyle w:val="ListBullet"/>
        <w:spacing w:after="40" w:before="0"/>
      </w:pPr>
      <w:r>
        <w:rPr>
          <w:rFonts w:ascii="Arial" w:hAnsi="Arial"/>
          <w:b w:val="0"/>
          <w:i w:val="0"/>
          <w:color w:val="111827"/>
          <w:sz w:val="21"/>
        </w:rPr>
        <w:t>Every requirement names specific verification evidence - a document, a test, a scan - not "review".</w:t>
      </w:r>
    </w:p>
    <w:p>
      <w:pPr>
        <w:pStyle w:val="ListBullet"/>
        <w:spacing w:after="40" w:before="0"/>
      </w:pPr>
      <w:r>
        <w:rPr>
          <w:rFonts w:ascii="Arial" w:hAnsi="Arial"/>
          <w:b w:val="0"/>
          <w:i w:val="0"/>
          <w:color w:val="111827"/>
          <w:sz w:val="21"/>
        </w:rPr>
        <w:t>Your consequences table contains at least one number large enough to justify the compliance workstream's cost. If compliance looks cheaper to skip, your analysis is incomplete.</w:t>
      </w:r>
    </w:p>
    <w:p>
      <w:pPr>
        <w:pStyle w:val="ListBullet"/>
        <w:spacing w:after="40" w:before="0"/>
      </w:pPr>
      <w:r>
        <w:rPr>
          <w:rFonts w:ascii="Arial" w:hAnsi="Arial"/>
          <w:b w:val="0"/>
          <w:i w:val="0"/>
          <w:color w:val="111827"/>
          <w:sz w:val="21"/>
        </w:rPr>
        <w:t>Compliance is expressed as a measurable fraction, and you can state today's value.</w:t>
      </w:r>
    </w:p>
    <w:p>
      <w:pPr>
        <w:pStyle w:val="ListBullet"/>
        <w:spacing w:after="40" w:before="0"/>
      </w:pPr>
      <w:r>
        <w:rPr>
          <w:rFonts w:ascii="Arial" w:hAnsi="Arial"/>
          <w:b w:val="0"/>
          <w:i w:val="0"/>
          <w:color w:val="111827"/>
          <w:sz w:val="21"/>
        </w:rPr>
        <w:t>Your sustainability plan addresses the three admin staff. A plan covering only carbon has missed the social dimension.</w:t>
      </w:r>
    </w:p>
    <w:p>
      <w:pPr>
        <w:pStyle w:val="ListBullet"/>
        <w:spacing w:after="40" w:before="0"/>
      </w:pPr>
      <w:r>
        <w:rPr>
          <w:rFonts w:ascii="Arial" w:hAnsi="Arial"/>
          <w:b w:val="0"/>
          <w:i w:val="0"/>
          <w:color w:val="111827"/>
          <w:sz w:val="21"/>
        </w:rPr>
        <w:t>Every AI use in your register names an accountable human. If any row's accountability is "the tool", redo it.</w:t>
      </w:r>
    </w:p>
    <w:p>
      <w:pPr>
        <w:pStyle w:val="ListBullet"/>
        <w:spacing w:after="40" w:before="0"/>
      </w:pPr>
      <w:r>
        <w:rPr>
          <w:rFonts w:ascii="Arial" w:hAnsi="Arial"/>
          <w:b w:val="0"/>
          <w:i w:val="0"/>
          <w:color w:val="111827"/>
          <w:sz w:val="21"/>
        </w:rPr>
        <w:t>At least one compliance activity is deliberately pulled early in the schedule to avoid late discovery, and you can say which and why.</w:t>
      </w:r>
    </w:p>
    <w:p>
      <w:pPr>
        <w:spacing w:after="120" w:before="320"/>
        <w:jc w:val="center"/>
      </w:pPr>
      <w:r>
        <w:rPr>
          <w:rFonts w:ascii="Arial" w:hAnsi="Arial"/>
          <w:b w:val="0"/>
          <w:i w:val="0"/>
          <w:color w:val="555F6D"/>
          <w:sz w:val="15"/>
        </w:rPr>
        <w:t>Project Management Masterclass · C523 · Version v3.0 · © 2026 Tertiary Infotech Academy Pte Ltd</w:t>
      </w:r>
    </w:p>
    <w:sectPr w:rsidR="00FC693F" w:rsidRPr="0006063C" w:rsidSect="00034616">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