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78"/>
      </w:tblGrid>
      <w:tr>
        <w:tc>
          <w:tcPr>
            <w:tcW w:type="dxa" w:w="9678"/>
            <w:shd w:val="clear" w:fill="1F6FEB"/>
          </w:tcPr>
          <w:p>
            <w:pPr>
              <w:spacing w:after="0" w:before="0"/>
              <w:jc w:val="center"/>
            </w:pPr>
            <w:r/>
            <w:r>
              <w:rPr>
                <w:rFonts w:ascii="Arial" w:hAnsi="Arial"/>
                <w:b/>
                <w:color w:val="FFFFFF"/>
                <w:sz w:val="20"/>
              </w:rPr>
              <w:t>Tertiary Infotech Academy Pte Ltd</w:t>
            </w:r>
          </w:p>
        </w:tc>
      </w:tr>
    </w:tbl>
    <w:p>
      <w:pPr>
        <w:spacing w:after="40" w:before="0"/>
      </w:pPr>
      <w:r>
        <w:rPr>
          <w:rFonts w:ascii="Arial" w:hAnsi="Arial"/>
          <w:b/>
          <w:i w:val="0"/>
          <w:color w:val="1F6FEB"/>
          <w:sz w:val="24"/>
        </w:rPr>
        <w:t>ACTIVITY 4 — LEARNER WORKSHEET</w:t>
      </w:r>
    </w:p>
    <w:p>
      <w:pPr>
        <w:spacing w:after="40" w:before="0"/>
      </w:pPr>
      <w:r>
        <w:rPr>
          <w:rFonts w:ascii="Arial" w:hAnsi="Arial"/>
          <w:b/>
          <w:i w:val="0"/>
          <w:color w:val="111827"/>
          <w:sz w:val="30"/>
        </w:rPr>
        <w:t>Compliance, Sustainability and AI-Governance Register</w:t>
      </w:r>
    </w:p>
    <w:tbl>
      <w:tblPr>
        <w:tblW w:type="auto" w:w="0"/>
        <w:jc w:val="center"/>
        <w:tblLook w:firstColumn="1" w:firstRow="1" w:lastColumn="0" w:lastRow="0" w:noHBand="0" w:noVBand="1" w:val="04A0"/>
      </w:tblPr>
      <w:tblGrid>
        <w:gridCol w:w="2419"/>
        <w:gridCol w:w="2419"/>
        <w:gridCol w:w="2419"/>
        <w:gridCol w:w="2419"/>
      </w:tblGrid>
      <w:tr>
        <w:tc>
          <w:tcPr>
            <w:tcW w:type="dxa" w:w="2419"/>
            <w:shd w:val="clear" w:fill="F5F8FC"/>
          </w:tcPr>
          <w:p>
            <w:pPr>
              <w:spacing w:after="0" w:before="0"/>
            </w:pPr>
            <w:r/>
            <w:r>
              <w:rPr>
                <w:rFonts w:ascii="Arial" w:hAnsi="Arial"/>
                <w:b/>
                <w:color w:val="1F6FEB"/>
                <w:sz w:val="15"/>
              </w:rPr>
              <w:t>TYPE</w:t>
            </w:r>
          </w:p>
          <w:p>
            <w:pPr>
              <w:spacing w:after="0" w:before="0"/>
            </w:pPr>
            <w:r>
              <w:rPr>
                <w:rFonts w:ascii="Arial" w:hAnsi="Arial"/>
                <w:b w:val="0"/>
                <w:color w:val="1F6FEB"/>
                <w:sz w:val="15"/>
              </w:rPr>
              <w:t>Workshop</w:t>
            </w:r>
          </w:p>
        </w:tc>
        <w:tc>
          <w:tcPr>
            <w:tcW w:type="dxa" w:w="2419"/>
            <w:shd w:val="clear" w:fill="F5F8FC"/>
          </w:tcPr>
          <w:p>
            <w:pPr>
              <w:spacing w:after="0" w:before="0"/>
            </w:pPr>
            <w:r/>
            <w:r>
              <w:rPr>
                <w:rFonts w:ascii="Arial" w:hAnsi="Arial"/>
                <w:b/>
                <w:color w:val="1F6FEB"/>
                <w:sz w:val="15"/>
              </w:rPr>
              <w:t>DURATION</w:t>
            </w:r>
          </w:p>
          <w:p>
            <w:pPr>
              <w:spacing w:after="0" w:before="0"/>
            </w:pPr>
            <w:r>
              <w:rPr>
                <w:rFonts w:ascii="Arial" w:hAnsi="Arial"/>
                <w:b w:val="0"/>
                <w:color w:val="1F6FEB"/>
                <w:sz w:val="15"/>
              </w:rPr>
              <w:t>75 minutes</w:t>
            </w:r>
          </w:p>
        </w:tc>
        <w:tc>
          <w:tcPr>
            <w:tcW w:type="dxa" w:w="2419"/>
            <w:shd w:val="clear" w:fill="F5F8FC"/>
          </w:tcPr>
          <w:p>
            <w:pPr>
              <w:spacing w:after="0" w:before="0"/>
            </w:pPr>
            <w:r/>
            <w:r>
              <w:rPr>
                <w:rFonts w:ascii="Arial" w:hAnsi="Arial"/>
                <w:b/>
                <w:color w:val="1F6FEB"/>
                <w:sz w:val="15"/>
              </w:rPr>
              <w:t>MAPS TO</w:t>
            </w:r>
          </w:p>
          <w:p>
            <w:pPr>
              <w:spacing w:after="0" w:before="0"/>
            </w:pPr>
            <w:r>
              <w:rPr>
                <w:rFonts w:ascii="Arial" w:hAnsi="Arial"/>
                <w:b w:val="0"/>
                <w:color w:val="1F6FEB"/>
                <w:sz w:val="15"/>
              </w:rPr>
              <w:t>LO4</w:t>
            </w:r>
          </w:p>
        </w:tc>
        <w:tc>
          <w:tcPr>
            <w:tcW w:type="dxa" w:w="2419"/>
            <w:shd w:val="clear" w:fill="F5F8FC"/>
          </w:tcPr>
          <w:p>
            <w:pPr>
              <w:spacing w:after="0" w:before="0"/>
            </w:pPr>
            <w:r/>
            <w:r>
              <w:rPr>
                <w:rFonts w:ascii="Arial" w:hAnsi="Arial"/>
                <w:b/>
                <w:color w:val="1F6FEB"/>
                <w:sz w:val="15"/>
              </w:rPr>
              <w:t>TOPIC</w:t>
            </w:r>
          </w:p>
          <w:p>
            <w:pPr>
              <w:spacing w:after="0" w:before="0"/>
            </w:pPr>
            <w:r>
              <w:rPr>
                <w:rFonts w:ascii="Arial" w:hAnsi="Arial"/>
                <w:b w:val="0"/>
                <w:color w:val="1F6FEB"/>
                <w:sz w:val="15"/>
              </w:rPr>
              <w:t>1 - Business Environment</w:t>
            </w:r>
          </w:p>
        </w:tc>
      </w:tr>
    </w:tbl>
    <w:p>
      <w:pPr>
        <w:spacing w:after="40" w:before="0"/>
      </w:pPr>
    </w:p>
    <w:p>
      <w:pPr>
        <w:spacing w:before="280" w:after="100"/>
      </w:pPr>
      <w:r>
        <w:rPr>
          <w:rFonts w:ascii="Arial" w:hAnsi="Arial"/>
          <w:b/>
          <w:color w:val="111827"/>
          <w:sz w:val="26"/>
        </w:rPr>
        <w:t>What you are doing</w:t>
      </w:r>
    </w:p>
    <w:p>
      <w:pPr>
        <w:spacing w:after="120" w:before="0"/>
      </w:pPr>
      <w:r>
        <w:rPr>
          <w:rFonts w:ascii="Arial" w:hAnsi="Arial"/>
          <w:b w:val="0"/>
          <w:i w:val="0"/>
          <w:color w:val="111827"/>
          <w:sz w:val="21"/>
        </w:rPr>
        <w:t>Contoso Learning Pte Ltd is a training provider with 14,000 active learners. Its course registration portal is 9 years old. Registration takes a median of 11 minutes and 34% of attempts are abandoned. Learner communications consume 24 staff-hours per week across 3 administrators. 62% of learner traffic is mobile, against a portal that is not responsive. Legacy consent screens do not meet current PDPA requirements. The project modernises course registration and learner communications.</w:t>
      </w:r>
    </w:p>
    <w:p>
      <w:pPr>
        <w:spacing w:after="120" w:before="0"/>
      </w:pPr>
      <w:r>
        <w:rPr>
          <w:rFonts w:ascii="Arial" w:hAnsi="Arial"/>
          <w:b/>
          <w:i w:val="0"/>
          <w:color w:val="111827"/>
          <w:sz w:val="21"/>
        </w:rPr>
        <w:t>What you will produce: compliance register, sustainability plan, ai governance — submitted to artifacts/.</w:t>
      </w:r>
    </w:p>
    <w:p>
      <w:pPr>
        <w:spacing w:before="280" w:after="100"/>
      </w:pPr>
      <w:r>
        <w:rPr>
          <w:rFonts w:ascii="Arial" w:hAnsi="Arial"/>
          <w:b/>
          <w:color w:val="111827"/>
          <w:sz w:val="26"/>
        </w:rPr>
        <w:t>What you need before you start</w:t>
      </w:r>
    </w:p>
    <w:p>
      <w:pPr>
        <w:pStyle w:val="ListBullet"/>
        <w:spacing w:after="40" w:before="0"/>
      </w:pPr>
      <w:r>
        <w:rPr>
          <w:rFonts w:ascii="Arial" w:hAnsi="Arial"/>
          <w:b w:val="0"/>
          <w:i w:val="0"/>
          <w:color w:val="111827"/>
          <w:sz w:val="21"/>
        </w:rPr>
        <w:t>Lab 02 PESTLE factors L1, L2, En1, T1</w:t>
      </w:r>
    </w:p>
    <w:p>
      <w:pPr>
        <w:pStyle w:val="ListBullet"/>
        <w:spacing w:after="40" w:before="0"/>
      </w:pPr>
      <w:r>
        <w:rPr>
          <w:rFonts w:ascii="Arial" w:hAnsi="Arial"/>
          <w:b w:val="0"/>
          <w:i w:val="0"/>
          <w:color w:val="111827"/>
          <w:sz w:val="21"/>
        </w:rPr>
        <w:t>Lab 03 EEF list and escalation thresholds</w:t>
      </w:r>
    </w:p>
    <w:p>
      <w:pPr>
        <w:spacing w:before="280" w:after="100"/>
      </w:pPr>
      <w:r>
        <w:rPr>
          <w:rFonts w:ascii="Arial" w:hAnsi="Arial"/>
          <w:b/>
          <w:color w:val="111827"/>
          <w:sz w:val="26"/>
        </w:rPr>
        <w:t>Your steps</w:t>
      </w:r>
    </w:p>
    <w:p>
      <w:pPr>
        <w:pStyle w:val="ListNumber"/>
        <w:spacing w:after="60" w:before="0"/>
      </w:pPr>
      <w:r>
        <w:rPr>
          <w:rFonts w:ascii="Arial" w:hAnsi="Arial"/>
          <w:b w:val="0"/>
          <w:i w:val="0"/>
          <w:color w:val="111827"/>
          <w:sz w:val="21"/>
        </w:rPr>
        <w:t>Confirm the compliance requirements. Create artifacts/04-compliance-register.md. Categorise every requirement. The ECO names four categories explicitly: security, health and safety, sustainability, and regulatory.</w:t>
      </w:r>
    </w:p>
    <w:p>
      <w:pPr>
        <w:pStyle w:val="ListNumber"/>
        <w:spacing w:after="60" w:before="0"/>
      </w:pPr>
      <w:r>
        <w:rPr>
          <w:rFonts w:ascii="Arial" w:hAnsi="Arial"/>
          <w:b w:val="0"/>
          <w:i w:val="0"/>
          <w:color w:val="111827"/>
          <w:sz w:val="21"/>
        </w:rPr>
        <w:t>Identify threats to compliance. For the highest-stakes requirements, name what could actually cause a failure. This is what makes the register useful rather than a checklist.</w:t>
      </w:r>
    </w:p>
    <w:p>
      <w:pPr>
        <w:pStyle w:val="ListNumber"/>
        <w:spacing w:after="60" w:before="0"/>
      </w:pPr>
      <w:r>
        <w:rPr>
          <w:rFonts w:ascii="Arial" w:hAnsi="Arial"/>
          <w:b w:val="0"/>
          <w:i w:val="0"/>
          <w:color w:val="111827"/>
          <w:sz w:val="21"/>
        </w:rPr>
        <w:t>Analyse the consequences of noncompliance. The ECO enabler is "Analyze the consequences of noncompliance". Quantify where you can, because this is how compliance work wins prioritisation arguments against feature work.</w:t>
      </w:r>
    </w:p>
    <w:p>
      <w:pPr>
        <w:pStyle w:val="ListNumber"/>
        <w:spacing w:after="60" w:before="0"/>
      </w:pPr>
      <w:r>
        <w:rPr>
          <w:rFonts w:ascii="Arial" w:hAnsi="Arial"/>
          <w:b w:val="0"/>
          <w:i w:val="0"/>
          <w:color w:val="111827"/>
          <w:sz w:val="21"/>
        </w:rPr>
        <w:t>Decide the approach and actions. For each requirement, state the method that supports compliance - the ECO enabler "Use methods to support compliance".</w:t>
      </w:r>
    </w:p>
    <w:p>
      <w:pPr>
        <w:pStyle w:val="ListNumber"/>
        <w:spacing w:after="60" w:before="0"/>
      </w:pPr>
      <w:r>
        <w:rPr>
          <w:rFonts w:ascii="Arial" w:hAnsi="Arial"/>
          <w:b w:val="0"/>
          <w:i w:val="0"/>
          <w:color w:val="111827"/>
          <w:sz w:val="21"/>
        </w:rPr>
        <w:t>Define how compliance is measured. The final ECO enabler: "Measure the extent to which the project is in compliance". Define a compliance index you can actually report.</w:t>
      </w:r>
    </w:p>
    <w:p>
      <w:pPr>
        <w:pStyle w:val="ListNumber"/>
        <w:spacing w:after="60" w:before="0"/>
      </w:pPr>
      <w:r>
        <w:rPr>
          <w:rFonts w:ascii="Arial" w:hAnsi="Arial"/>
          <w:b w:val="0"/>
          <w:i w:val="0"/>
          <w:color w:val="111827"/>
          <w:sz w:val="21"/>
        </w:rPr>
        <w:t>Build the sustainability section. Create artifacts/04-sustainability-plan.md. Sustainability appears in both Process T7 ("Manage cost of quality and sustainability") and Business Env T2. Cover all three dimensions, not only carbon.</w:t>
      </w:r>
    </w:p>
    <w:p>
      <w:pPr>
        <w:pStyle w:val="ListNumber"/>
        <w:spacing w:after="60" w:before="0"/>
      </w:pPr>
      <w:r>
        <w:rPr>
          <w:rFonts w:ascii="Arial" w:hAnsi="Arial"/>
          <w:b w:val="0"/>
          <w:i w:val="0"/>
          <w:color w:val="111827"/>
          <w:sz w:val="21"/>
        </w:rPr>
        <w:t>Build the AI-governance register. Contoso will not build the AI recommender in this release (Lab 02 ranked it below the mobile work), but two AI uses are already in play. The July 2026 ECO expects AI use to be governed, not assumed.</w:t>
      </w:r>
    </w:p>
    <w:p>
      <w:pPr>
        <w:pStyle w:val="ListNumber"/>
        <w:spacing w:after="60" w:before="0"/>
      </w:pPr>
      <w:r>
        <w:rPr>
          <w:rFonts w:ascii="Arial" w:hAnsi="Arial"/>
          <w:b w:val="0"/>
          <w:i w:val="0"/>
          <w:color w:val="111827"/>
          <w:sz w:val="21"/>
        </w:rPr>
        <w:t>Answer the exam-style scenarios</w:t>
      </w:r>
    </w:p>
    <w:p>
      <w:pPr>
        <w:spacing w:before="280" w:after="100"/>
      </w:pPr>
      <w:r>
        <w:rPr>
          <w:rFonts w:ascii="Arial" w:hAnsi="Arial"/>
          <w:b/>
          <w:color w:val="111827"/>
          <w:sz w:val="26"/>
        </w:rPr>
        <w:t>Your working space</w:t>
      </w:r>
    </w:p>
    <w:p>
      <w:pPr>
        <w:spacing w:after="160" w:before="0"/>
      </w:pPr>
      <w:r>
        <w:rPr>
          <w:rFonts w:ascii="Arial" w:hAnsi="Arial"/>
          <w:b w:val="0"/>
          <w:i/>
          <w:color w:val="555F6D"/>
          <w:sz w:val="21"/>
        </w:rPr>
        <w:t>Complete every field. Keep this worksheet — it is your reference for the rest of the course.</w:t>
      </w:r>
    </w:p>
    <w:p>
      <w:pPr>
        <w:spacing w:after="60" w:before="0"/>
      </w:pPr>
      <w:r>
        <w:rPr>
          <w:rFonts w:ascii="Arial" w:hAnsi="Arial"/>
          <w:b/>
          <w:i w:val="0"/>
          <w:color w:val="111827"/>
          <w:sz w:val="20"/>
        </w:rPr>
        <w:t>Step 1 — Confirm the compliance requirements</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2 — Identify threats to compliance</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3 — Analyse the consequences of noncompliance</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4 — Decide the approach and actions</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5 — Define how compliance is measured</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6 — Build the sustainability section</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7 — Build the AI-governance register</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8 — Answer the exam-style scenarios</w:t>
      </w:r>
    </w:p>
    <w:p>
      <w:pPr>
        <w:spacing w:before="200" w:after="200"/>
        <w:pBdr>
          <w:bottom w:val="single" w:sz="6" w:space="1" w:color="B8C4D0"/>
        </w:pBdr>
      </w:pPr>
    </w:p>
    <w:p>
      <w:pPr>
        <w:spacing w:before="200" w:after="200"/>
        <w:pBdr>
          <w:bottom w:val="single" w:sz="6" w:space="1" w:color="B8C4D0"/>
        </w:pBdr>
      </w:pPr>
    </w:p>
    <w:p>
      <w:pPr>
        <w:spacing w:before="280" w:after="100"/>
      </w:pPr>
      <w:r>
        <w:rPr>
          <w:rFonts w:ascii="Arial" w:hAnsi="Arial"/>
          <w:b/>
          <w:color w:val="111827"/>
          <w:sz w:val="26"/>
        </w:rPr>
        <w:t>Deliverable checklist</w:t>
      </w:r>
    </w:p>
    <w:p>
      <w:pPr>
        <w:pStyle w:val="ListBullet"/>
        <w:spacing w:after="40" w:before="0"/>
      </w:pPr>
      <w:r>
        <w:rPr>
          <w:rFonts w:ascii="Arial" w:hAnsi="Arial"/>
          <w:b w:val="0"/>
          <w:i w:val="0"/>
          <w:color w:val="111827"/>
          <w:sz w:val="21"/>
        </w:rPr>
        <w:t>04-compliance-register.md - at least 13 requirements across all four ECO categories (security, health and safety, sustainability, regulatory), each with a source and named verification evidence.</w:t>
      </w:r>
    </w:p>
    <w:p>
      <w:pPr>
        <w:pStyle w:val="ListBullet"/>
        <w:spacing w:after="40" w:before="0"/>
      </w:pPr>
      <w:r>
        <w:rPr>
          <w:rFonts w:ascii="Arial" w:hAnsi="Arial"/>
          <w:b w:val="0"/>
          <w:i w:val="0"/>
          <w:color w:val="111827"/>
          <w:sz w:val="21"/>
        </w:rPr>
        <w:t>The threats-to-compliance table with a detection method per row.</w:t>
      </w:r>
    </w:p>
    <w:p>
      <w:pPr>
        <w:pStyle w:val="ListBullet"/>
        <w:spacing w:after="40" w:before="0"/>
      </w:pPr>
      <w:r>
        <w:rPr>
          <w:rFonts w:ascii="Arial" w:hAnsi="Arial"/>
          <w:b w:val="0"/>
          <w:i w:val="0"/>
          <w:color w:val="111827"/>
          <w:sz w:val="21"/>
        </w:rPr>
        <w:t>The consequences analysis with quantified financial exposure where available.</w:t>
      </w:r>
    </w:p>
    <w:p>
      <w:pPr>
        <w:pStyle w:val="ListBullet"/>
        <w:spacing w:after="40" w:before="0"/>
      </w:pPr>
      <w:r>
        <w:rPr>
          <w:rFonts w:ascii="Arial" w:hAnsi="Arial"/>
          <w:b w:val="0"/>
          <w:i w:val="0"/>
          <w:color w:val="111827"/>
          <w:sz w:val="21"/>
        </w:rPr>
        <w:t>The methods-and-actions table with owners and timing.</w:t>
      </w:r>
    </w:p>
    <w:p>
      <w:pPr>
        <w:pStyle w:val="ListBullet"/>
        <w:spacing w:after="40" w:before="0"/>
      </w:pPr>
      <w:r>
        <w:rPr>
          <w:rFonts w:ascii="Arial" w:hAnsi="Arial"/>
          <w:b w:val="0"/>
          <w:i w:val="0"/>
          <w:color w:val="111827"/>
          <w:sz w:val="21"/>
        </w:rPr>
        <w:t>The compliance measurement definitions, expressible as a single reportable fraction.</w:t>
      </w:r>
    </w:p>
    <w:p>
      <w:pPr>
        <w:pStyle w:val="ListBullet"/>
        <w:spacing w:after="40" w:before="0"/>
      </w:pPr>
      <w:r>
        <w:rPr>
          <w:rFonts w:ascii="Arial" w:hAnsi="Arial"/>
          <w:b w:val="0"/>
          <w:i w:val="0"/>
          <w:color w:val="111827"/>
          <w:sz w:val="21"/>
        </w:rPr>
        <w:t>04-sustainability-plan.md - environmental, social and economic dimensions with measures.</w:t>
      </w:r>
    </w:p>
    <w:p>
      <w:pPr>
        <w:pStyle w:val="ListBullet"/>
        <w:spacing w:after="40" w:before="0"/>
      </w:pPr>
      <w:r>
        <w:rPr>
          <w:rFonts w:ascii="Arial" w:hAnsi="Arial"/>
          <w:b w:val="0"/>
          <w:i w:val="0"/>
          <w:color w:val="111827"/>
          <w:sz w:val="21"/>
        </w:rPr>
        <w:t>04-ai-governance.md - the AI use register plus the five governing principles.</w:t>
      </w:r>
    </w:p>
    <w:p>
      <w:pPr>
        <w:pStyle w:val="ListBullet"/>
        <w:spacing w:after="40" w:before="0"/>
      </w:pPr>
      <w:r>
        <w:rPr>
          <w:rFonts w:ascii="Arial" w:hAnsi="Arial"/>
          <w:b w:val="0"/>
          <w:i w:val="0"/>
          <w:color w:val="111827"/>
          <w:sz w:val="21"/>
        </w:rPr>
        <w:t>Written answers to the three scenarios.</w:t>
      </w:r>
    </w:p>
    <w:p>
      <w:pPr>
        <w:spacing w:after="120" w:before="320"/>
        <w:jc w:val="center"/>
      </w:pPr>
      <w:r>
        <w:rPr>
          <w:rFonts w:ascii="Arial" w:hAnsi="Arial"/>
          <w:b w:val="0"/>
          <w:i w:val="0"/>
          <w:color w:val="555F6D"/>
          <w:sz w:val="15"/>
        </w:rPr>
        <w:t>Project Management Masterclass · C523 · Version v3.0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