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5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Business Case and Cost-Benefit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90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LO1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2 - Start the Project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Business Case and Cost-Benefit Analysis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benefit line traces to a Lab 03 baseline metric. A benefit with no baseline cannot be proven in Lab 23.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discount factors decrease with time and are below 1. If any factor exceeds 1, you have inverted the formula.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NPV subtracts the initial investment. Forgetting the year-0 outflow is the single most common arithmetic error here.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BCR is above 1 and equals total benefit divided by total cost - not the inverse.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do-nothing option has a *negative* number attached, not a blank. Do-nothing is never free.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recommendation cites NPV as the deciding measure, not payback or project size.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downside scenario still shows a positive NPV, and you stated that conclusion explicitly.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In Scenario 2 you named the SGD 180,000 as sunk before discussing what to do next.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Every benefit line traces to a Lab 03 baseline metric. A benefit with no baseline cannot be proven in Lab 23.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