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5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Business Case and Cost-Benefit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2 - Start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business case, cba model, benefits map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02 factors E1 and E2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03 success metrics and baselines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04 compliance exposure figures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Quantify the benefits from the Lab 03 baselines. Every benefit must trace to a metric you baselined in Lab 03. Create artifacts/05-cba-model.md.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cost side. Note that the total build cost equals the SGD 480,000 ceiling exactly, and that the contingency reserve sits *inside* it - the Lab 02 factor E2 consequence. You will decompose these numbers properly in Lab 13.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Compute payback, NPV, ROI and BCR. Build the net cash flow table. Use a discount rate of 8%, Contoso's stated cost of capital.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Stress-test against the Lab 02 downside. Lab 02 factor E1 said client L&amp;D budgets are down 8%. Test the case with 8% lower registration volume *and* a weaker abandonment recovery - 34% down to only 22% rather than 15%.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Choose among options. The sponsor asks you to compare three options before committing. Complete the comparison and make a recommendation.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the business case document. Create artifacts/05-business-case.md using this structure: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benefits realisation map. Create artifacts/05-benefits-map.md. This is what Lab 23 will formally close against, so make it verifiable.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Quantify the benefits from the Lab 03 baselines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Build the cost side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Compute payback, NPV, ROI and BCR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Stress-test against the Lab 02 downside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Choose among options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Write the business case document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Build the benefits realisation map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05-cba-model.md - the benefits quantification B1-B4 traced to Lab 03 baselines, the cost table, and the discounted cash flow table with all discount factors shown.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All four financial measures computed with working shown: payback period, NPV, ROI, BCR.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downside sensitivity scenario with its recomputed NPV and payback.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three-option comparison including the quantified cost of doing nothing.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05-business-case.md - all ten sections.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05-benefits-map.md - each benefit traced output -&gt; outcome -&gt; benefit, with baseline, target, owner and review date.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