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6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Project Charter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2 - Start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Project Charter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success criterion has a numeric baseline and a numeric target. "Improved registration" is not a success criterion.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charter has a sponsor signature block, and you can explain why the PM's signature alone would not authorise anything.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exclusion has a rationale traceable to an earlier lab's evidence.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milestone list contains milestones only - if it contains activities with durations, that belongs in Lab 12.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PM authority section states specific figures for procurement and change approval, consistent with the Lab 03 thresholds.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approach decision names both what is predictive and what is adaptive, and explains the interface between them. "Hybrid" alone is not a decision.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assumption has a validation date earlier than the point at which being wrong would be unrecoverable. Check A-05 in particular.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can state the difference between contingency reserve and management reserve, and who controls each.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Every success criterion has a numeric baseline and a numeric target. "Improved registration" is not a success criterion.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