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6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project charter, approach decision, assumption 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03 governance model and escalation thresholds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04 compliance requirements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05 business case, benefits and financials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Assemble the charter inputs. Everything in a charter comes from somewhere. Confirm you have each input before drafting.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charter header and purpose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State measurable success criteria. Deliverables are what you build. Success criteria are how anyone knows it worked. Keep them separate and make every criterion numeric.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Define scope boundaries, including exclusions. The exclusions section prevents more disputes than the inclusions section.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Record high-level requirements, milestones and budget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Name the project manager's authority. This section is what makes the charter operationally useful, and it is heavily tested. Be specific.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Document the development approach decision. Create artifacts/06-approach-decision.md. The ECO enabler is "Recommend a development approach (predictive, adaptive/agile, or hybrid)". A recommendation needs criteria, not taste.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assumption and constraint log. Create artifacts/06-assumption-log.md. Assumptions are things you have taken as true without proof - each one is a latent risk, which is why Lab 14 revisits this log.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Assemble the charter inputs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Write the charter header and purpose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State measurable success criteria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Define scope boundaries, including exclusions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Record high-level requirements, milestones and budget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Name the project manager's authority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Document the development approach decision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Build the assumption and constraint log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9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06-project-charter.md containing: purpose, measurable success criteria with baselines, in-scope list, out-of-scope list with rationales, high-level requirements, milestone schedule, budget summary, PM authority levels, sponsor signature block.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06-approach-decision.md - the criteria table, the hybrid decision, what is predictive, what is adaptive, how they meet, and why not each pure approach.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06-assumption-log.md - at least 7 assumptions each with a validation method, date and owner, plus the constraint list.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