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7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Stakeholder Register, Power/Interest Grid and Salience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Stakeholder Register, Power/Interest Grid and Salience Model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register includes the three admin staff. A register listing only powerful people is a list of bosses, not a stakeholder register.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stakeholder has a numeric power and interest score, and their grid position matches those scores.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salience analysis produced at least one insight the grid did not - if both tools gave you identical conclusions, you applied the grid twice.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identified the admin staff as dependent and stated that the PM's role is advocacy.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C-to-D gap in the engagement matrix has an action with an owner and a date. Gaps with no action are not a plan.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M-1 facilitation plan converts the disagreement into a concrete trade-off with a number attached (55 story points / 1.6 sprints), rather than a debate about importance.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engagement cadence has different frequencies for different stakeholders. If everyone gets a fortnightly email, you have not tailored anything - and People T4 explicitly requires tailored communication.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register includes the three admin staff. A register listing only powerful people is a list of bosses, not a stakeholder register.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